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4D4B4" w14:textId="77777777" w:rsidR="00DF4847" w:rsidRPr="003810DC" w:rsidRDefault="00DF4847" w:rsidP="00686E32">
      <w:pPr>
        <w:spacing w:after="0" w:line="276" w:lineRule="auto"/>
        <w:jc w:val="both"/>
        <w:rPr>
          <w:rFonts w:ascii="Verdana" w:hAnsi="Verdana" w:cs="Arial"/>
          <w:lang w:val="es-ES"/>
        </w:rPr>
      </w:pPr>
      <w:bookmarkStart w:id="0" w:name="_GoBack"/>
      <w:bookmarkEnd w:id="0"/>
    </w:p>
    <w:p w14:paraId="2F10D954" w14:textId="77777777" w:rsidR="00DF4847" w:rsidRPr="003810DC" w:rsidRDefault="00DF4847" w:rsidP="004F2259">
      <w:pPr>
        <w:spacing w:after="0" w:line="276" w:lineRule="auto"/>
        <w:jc w:val="both"/>
        <w:outlineLvl w:val="0"/>
        <w:rPr>
          <w:rFonts w:ascii="Verdana" w:hAnsi="Verdana" w:cs="Arial"/>
          <w:lang w:val="es-ES"/>
        </w:rPr>
      </w:pPr>
      <w:r w:rsidRPr="003810DC">
        <w:rPr>
          <w:rFonts w:ascii="Verdana" w:hAnsi="Verdana" w:cs="Arial"/>
          <w:lang w:val="es-ES"/>
        </w:rPr>
        <w:t>Bogotá D.C, 12 de abril de 2018</w:t>
      </w:r>
    </w:p>
    <w:p w14:paraId="346E407C" w14:textId="77777777" w:rsidR="00DF4847" w:rsidRPr="003810DC" w:rsidRDefault="00DF4847" w:rsidP="00686E32">
      <w:pPr>
        <w:spacing w:after="0" w:line="276" w:lineRule="auto"/>
        <w:jc w:val="both"/>
        <w:rPr>
          <w:rFonts w:ascii="Verdana" w:hAnsi="Verdana" w:cs="Arial"/>
          <w:lang w:val="es-ES"/>
        </w:rPr>
      </w:pPr>
    </w:p>
    <w:p w14:paraId="04ACAE24" w14:textId="77777777" w:rsidR="00DF4847" w:rsidRPr="003810DC" w:rsidRDefault="00DF4847" w:rsidP="00686E32">
      <w:pPr>
        <w:spacing w:after="0" w:line="276" w:lineRule="auto"/>
        <w:jc w:val="both"/>
        <w:rPr>
          <w:rFonts w:ascii="Verdana" w:hAnsi="Verdana" w:cs="Arial"/>
          <w:lang w:val="es-ES"/>
        </w:rPr>
      </w:pPr>
    </w:p>
    <w:p w14:paraId="6FA14D6D" w14:textId="77777777" w:rsidR="00DF4847" w:rsidRPr="003810DC" w:rsidRDefault="00DF4847" w:rsidP="004F2259">
      <w:pPr>
        <w:spacing w:after="0" w:line="276" w:lineRule="auto"/>
        <w:jc w:val="both"/>
        <w:outlineLvl w:val="0"/>
        <w:rPr>
          <w:rFonts w:ascii="Verdana" w:hAnsi="Verdana" w:cs="Arial"/>
          <w:lang w:val="es-ES"/>
        </w:rPr>
      </w:pPr>
      <w:r w:rsidRPr="003810DC">
        <w:rPr>
          <w:rFonts w:ascii="Verdana" w:hAnsi="Verdana" w:cs="Arial"/>
          <w:lang w:val="es-ES"/>
        </w:rPr>
        <w:t>Doctor</w:t>
      </w:r>
    </w:p>
    <w:p w14:paraId="1A245133" w14:textId="77777777" w:rsidR="00DF4847" w:rsidRPr="003810DC" w:rsidRDefault="00DF4847" w:rsidP="004F2259">
      <w:pPr>
        <w:spacing w:after="0" w:line="276" w:lineRule="auto"/>
        <w:jc w:val="both"/>
        <w:outlineLvl w:val="0"/>
        <w:rPr>
          <w:rFonts w:ascii="Verdana" w:hAnsi="Verdana" w:cs="Arial"/>
          <w:b/>
          <w:lang w:val="es-ES"/>
        </w:rPr>
      </w:pPr>
      <w:r w:rsidRPr="003810DC">
        <w:rPr>
          <w:rFonts w:ascii="Verdana" w:hAnsi="Verdana" w:cs="Arial"/>
          <w:b/>
          <w:lang w:val="es-ES"/>
        </w:rPr>
        <w:t xml:space="preserve">GERMÁN DARÍO ARIAS </w:t>
      </w:r>
    </w:p>
    <w:p w14:paraId="7E4BDC14" w14:textId="77777777" w:rsidR="00DF4847" w:rsidRPr="003810DC" w:rsidRDefault="00DF4847" w:rsidP="004F2259">
      <w:pPr>
        <w:spacing w:after="0" w:line="276" w:lineRule="auto"/>
        <w:jc w:val="both"/>
        <w:outlineLvl w:val="0"/>
        <w:rPr>
          <w:rFonts w:ascii="Verdana" w:hAnsi="Verdana" w:cs="Arial"/>
          <w:lang w:val="es-ES"/>
        </w:rPr>
      </w:pPr>
      <w:r w:rsidRPr="003810DC">
        <w:rPr>
          <w:rFonts w:ascii="Verdana" w:hAnsi="Verdana" w:cs="Arial"/>
          <w:lang w:val="es-ES"/>
        </w:rPr>
        <w:t>Director Ejecutivo</w:t>
      </w:r>
    </w:p>
    <w:p w14:paraId="3F46E134" w14:textId="77777777" w:rsidR="00DF4847" w:rsidRPr="003810DC" w:rsidRDefault="00DF4847" w:rsidP="004F2259">
      <w:pPr>
        <w:spacing w:after="0" w:line="276" w:lineRule="auto"/>
        <w:jc w:val="both"/>
        <w:outlineLvl w:val="0"/>
        <w:rPr>
          <w:rFonts w:ascii="Verdana" w:hAnsi="Verdana" w:cs="Arial"/>
          <w:lang w:val="es-ES"/>
        </w:rPr>
      </w:pPr>
      <w:r w:rsidRPr="003810DC">
        <w:rPr>
          <w:rFonts w:ascii="Verdana" w:hAnsi="Verdana" w:cs="Arial"/>
          <w:lang w:val="es-ES"/>
        </w:rPr>
        <w:t>Comisión de Regulación de Comunicaciones – CRC</w:t>
      </w:r>
    </w:p>
    <w:p w14:paraId="1D3A5E23" w14:textId="77777777" w:rsidR="00DF4847" w:rsidRPr="003810DC" w:rsidRDefault="00DF4847" w:rsidP="00686E32">
      <w:pPr>
        <w:spacing w:after="0" w:line="276" w:lineRule="auto"/>
        <w:jc w:val="both"/>
        <w:rPr>
          <w:rFonts w:ascii="Verdana" w:hAnsi="Verdana" w:cs="Arial"/>
          <w:lang w:val="es-ES"/>
        </w:rPr>
      </w:pPr>
      <w:r w:rsidRPr="003810DC">
        <w:rPr>
          <w:rFonts w:ascii="Verdana" w:hAnsi="Verdana" w:cs="Arial"/>
          <w:lang w:val="es-ES"/>
        </w:rPr>
        <w:t>Bogotá</w:t>
      </w:r>
    </w:p>
    <w:p w14:paraId="633A1AD0" w14:textId="77777777" w:rsidR="00DF4847" w:rsidRPr="003810DC" w:rsidRDefault="00DF4847" w:rsidP="00686E32">
      <w:pPr>
        <w:spacing w:after="0" w:line="276" w:lineRule="auto"/>
        <w:jc w:val="both"/>
        <w:rPr>
          <w:rFonts w:ascii="Verdana" w:hAnsi="Verdana" w:cs="Arial"/>
          <w:lang w:val="es-ES"/>
        </w:rPr>
      </w:pPr>
    </w:p>
    <w:p w14:paraId="47237CF2" w14:textId="77777777" w:rsidR="00DF4847" w:rsidRPr="003810DC" w:rsidRDefault="00DF4847" w:rsidP="00686E32">
      <w:pPr>
        <w:spacing w:after="0" w:line="276" w:lineRule="auto"/>
        <w:jc w:val="both"/>
        <w:rPr>
          <w:rFonts w:ascii="Verdana" w:hAnsi="Verdana" w:cs="Arial"/>
          <w:lang w:val="es-ES"/>
        </w:rPr>
      </w:pPr>
    </w:p>
    <w:p w14:paraId="377D3285" w14:textId="77777777" w:rsidR="00DF4847" w:rsidRPr="003810DC" w:rsidRDefault="00DF4847" w:rsidP="00686E32">
      <w:pPr>
        <w:spacing w:after="0" w:line="276" w:lineRule="auto"/>
        <w:jc w:val="both"/>
        <w:rPr>
          <w:rFonts w:ascii="Verdana" w:hAnsi="Verdana" w:cs="Arial"/>
          <w:lang w:val="es-ES"/>
        </w:rPr>
      </w:pPr>
      <w:r w:rsidRPr="003810DC">
        <w:rPr>
          <w:rFonts w:ascii="Verdana" w:hAnsi="Verdana" w:cs="Arial"/>
          <w:b/>
          <w:lang w:val="es-ES"/>
        </w:rPr>
        <w:t>Ref.</w:t>
      </w:r>
      <w:r w:rsidRPr="003810DC">
        <w:rPr>
          <w:rFonts w:ascii="Verdana" w:hAnsi="Verdana" w:cs="Arial"/>
          <w:lang w:val="es-ES"/>
        </w:rPr>
        <w:t>: Comentarios al proyecto de resolución “</w:t>
      </w:r>
      <w:r w:rsidRPr="003810DC">
        <w:rPr>
          <w:rFonts w:ascii="Verdana" w:hAnsi="Verdana" w:cs="Arial"/>
          <w:i/>
          <w:lang w:val="es-ES"/>
        </w:rPr>
        <w:t>Por la cual se modifica el artículo 2.1.9.4 del Capítulo 1 del Título II de la Resolución CRC 5050 de 2016</w:t>
      </w:r>
      <w:r w:rsidRPr="003810DC">
        <w:rPr>
          <w:rFonts w:ascii="Verdana" w:hAnsi="Verdana" w:cs="Arial"/>
          <w:lang w:val="es-ES"/>
        </w:rPr>
        <w:t>” y a su D</w:t>
      </w:r>
      <w:r w:rsidR="005E300D" w:rsidRPr="003810DC">
        <w:rPr>
          <w:rFonts w:ascii="Verdana" w:hAnsi="Verdana" w:cs="Arial"/>
          <w:lang w:val="es-ES"/>
        </w:rPr>
        <w:t>ocumento Soporte “</w:t>
      </w:r>
      <w:r w:rsidR="005E300D" w:rsidRPr="003810DC">
        <w:rPr>
          <w:rFonts w:ascii="Verdana" w:hAnsi="Verdana" w:cs="Arial"/>
          <w:i/>
          <w:lang w:val="es-ES"/>
        </w:rPr>
        <w:t>Condicionamientos de entrada para la comercialización de equipos terminales móviles</w:t>
      </w:r>
      <w:r w:rsidR="005E300D" w:rsidRPr="003810DC">
        <w:rPr>
          <w:rFonts w:ascii="Verdana" w:hAnsi="Verdana" w:cs="Arial"/>
          <w:lang w:val="es-ES"/>
        </w:rPr>
        <w:t>”</w:t>
      </w:r>
    </w:p>
    <w:p w14:paraId="5907F3A7" w14:textId="77777777" w:rsidR="00DF4847" w:rsidRPr="003810DC" w:rsidRDefault="00DF4847" w:rsidP="00686E32">
      <w:pPr>
        <w:spacing w:after="0" w:line="276" w:lineRule="auto"/>
        <w:jc w:val="both"/>
        <w:rPr>
          <w:rFonts w:ascii="Verdana" w:hAnsi="Verdana" w:cs="Arial"/>
          <w:lang w:val="es-ES"/>
        </w:rPr>
      </w:pPr>
    </w:p>
    <w:p w14:paraId="211B379E" w14:textId="77777777" w:rsidR="00DF4847" w:rsidRPr="003810DC" w:rsidRDefault="00DF4847" w:rsidP="00686E32">
      <w:pPr>
        <w:spacing w:after="0" w:line="276" w:lineRule="auto"/>
        <w:jc w:val="both"/>
        <w:rPr>
          <w:rFonts w:ascii="Verdana" w:hAnsi="Verdana" w:cs="Arial"/>
          <w:lang w:val="es-ES"/>
        </w:rPr>
      </w:pPr>
    </w:p>
    <w:p w14:paraId="2C317C18" w14:textId="77777777" w:rsidR="00DF4847" w:rsidRPr="003810DC" w:rsidRDefault="00DF4847" w:rsidP="00686E32">
      <w:pPr>
        <w:spacing w:after="0" w:line="276" w:lineRule="auto"/>
        <w:jc w:val="both"/>
        <w:rPr>
          <w:rFonts w:ascii="Verdana" w:hAnsi="Verdana" w:cs="Arial"/>
          <w:lang w:val="es-ES"/>
        </w:rPr>
      </w:pPr>
    </w:p>
    <w:p w14:paraId="01727A71" w14:textId="77777777" w:rsidR="00DF4847" w:rsidRPr="003810DC" w:rsidRDefault="00DF4847" w:rsidP="00686E32">
      <w:pPr>
        <w:spacing w:after="0" w:line="276" w:lineRule="auto"/>
        <w:jc w:val="both"/>
        <w:rPr>
          <w:rFonts w:ascii="Verdana" w:hAnsi="Verdana" w:cs="Arial"/>
          <w:lang w:val="es-ES"/>
        </w:rPr>
      </w:pPr>
      <w:r w:rsidRPr="003810DC">
        <w:rPr>
          <w:rFonts w:ascii="Verdana" w:hAnsi="Verdana" w:cs="Arial"/>
          <w:lang w:val="es-ES"/>
        </w:rPr>
        <w:t xml:space="preserve">Estimado Doctor </w:t>
      </w:r>
      <w:r w:rsidR="00636127" w:rsidRPr="003810DC">
        <w:rPr>
          <w:rFonts w:ascii="Verdana" w:hAnsi="Verdana" w:cs="Arial"/>
          <w:lang w:val="es-ES"/>
        </w:rPr>
        <w:t>Arias</w:t>
      </w:r>
      <w:r w:rsidRPr="003810DC">
        <w:rPr>
          <w:rFonts w:ascii="Verdana" w:hAnsi="Verdana" w:cs="Arial"/>
          <w:lang w:val="es-ES"/>
        </w:rPr>
        <w:t>:</w:t>
      </w:r>
    </w:p>
    <w:p w14:paraId="1FCFECBC" w14:textId="77777777" w:rsidR="00DF4847" w:rsidRPr="003810DC" w:rsidRDefault="00DF4847" w:rsidP="00686E32">
      <w:pPr>
        <w:spacing w:after="0" w:line="276" w:lineRule="auto"/>
        <w:jc w:val="both"/>
        <w:rPr>
          <w:rFonts w:ascii="Verdana" w:hAnsi="Verdana" w:cs="Arial"/>
          <w:lang w:val="es-ES"/>
        </w:rPr>
      </w:pPr>
    </w:p>
    <w:p w14:paraId="06B9BE2B" w14:textId="77777777" w:rsidR="00DF4847" w:rsidRPr="003810DC" w:rsidRDefault="00DF4847" w:rsidP="00686E32">
      <w:pPr>
        <w:spacing w:after="0" w:line="276" w:lineRule="auto"/>
        <w:jc w:val="both"/>
        <w:rPr>
          <w:rFonts w:ascii="Verdana" w:hAnsi="Verdana" w:cs="Arial"/>
          <w:lang w:val="es-ES"/>
        </w:rPr>
      </w:pPr>
    </w:p>
    <w:p w14:paraId="1EC13CBF" w14:textId="77777777" w:rsidR="00DF4847" w:rsidRPr="003810DC" w:rsidRDefault="00DF4847" w:rsidP="00686E32">
      <w:pPr>
        <w:spacing w:after="0" w:line="276" w:lineRule="auto"/>
        <w:jc w:val="both"/>
        <w:rPr>
          <w:rFonts w:ascii="Verdana" w:hAnsi="Verdana" w:cs="Arial"/>
          <w:lang w:val="es-ES"/>
        </w:rPr>
      </w:pPr>
      <w:r w:rsidRPr="003810DC">
        <w:rPr>
          <w:rFonts w:ascii="Verdana" w:hAnsi="Verdana" w:cs="Arial"/>
          <w:lang w:val="es-ES"/>
        </w:rPr>
        <w:t xml:space="preserve">Reciba un cordial saludo de parte del Departamento de Derecho de las Telecomunicaciones de la Universidad Externado de Colombia. </w:t>
      </w:r>
    </w:p>
    <w:p w14:paraId="7644214B" w14:textId="77777777" w:rsidR="00DF4847" w:rsidRPr="003810DC" w:rsidRDefault="00DF4847" w:rsidP="00686E32">
      <w:pPr>
        <w:spacing w:after="0" w:line="276" w:lineRule="auto"/>
        <w:jc w:val="both"/>
        <w:rPr>
          <w:rFonts w:ascii="Verdana" w:hAnsi="Verdana" w:cs="Arial"/>
          <w:lang w:val="es-ES"/>
        </w:rPr>
      </w:pPr>
      <w:r w:rsidRPr="003810DC">
        <w:rPr>
          <w:rFonts w:ascii="Verdana" w:hAnsi="Verdana" w:cs="Arial"/>
          <w:lang w:val="es-ES"/>
        </w:rPr>
        <w:t xml:space="preserve"> </w:t>
      </w:r>
    </w:p>
    <w:p w14:paraId="2EBE41C1" w14:textId="77777777" w:rsidR="00DF4847" w:rsidRPr="003810DC" w:rsidRDefault="00DF4847" w:rsidP="00686E32">
      <w:pPr>
        <w:spacing w:after="0" w:line="276" w:lineRule="auto"/>
        <w:jc w:val="both"/>
        <w:rPr>
          <w:rFonts w:ascii="Verdana" w:hAnsi="Verdana" w:cs="Arial"/>
          <w:lang w:val="es-ES"/>
        </w:rPr>
      </w:pPr>
      <w:r w:rsidRPr="003810DC">
        <w:rPr>
          <w:rFonts w:ascii="Verdana" w:hAnsi="Verdana" w:cs="Arial"/>
          <w:lang w:val="es-ES"/>
        </w:rPr>
        <w:t xml:space="preserve">Nos permitimos presentar los siguientes comentarios sobre </w:t>
      </w:r>
      <w:r w:rsidR="00636127" w:rsidRPr="003810DC">
        <w:rPr>
          <w:rFonts w:ascii="Verdana" w:hAnsi="Verdana" w:cs="Arial"/>
          <w:lang w:val="es-ES"/>
        </w:rPr>
        <w:t>los</w:t>
      </w:r>
      <w:r w:rsidRPr="003810DC">
        <w:rPr>
          <w:rFonts w:ascii="Verdana" w:hAnsi="Verdana" w:cs="Arial"/>
          <w:lang w:val="es-ES"/>
        </w:rPr>
        <w:t xml:space="preserve"> documento</w:t>
      </w:r>
      <w:r w:rsidR="00636127" w:rsidRPr="003810DC">
        <w:rPr>
          <w:rFonts w:ascii="Verdana" w:hAnsi="Verdana" w:cs="Arial"/>
          <w:lang w:val="es-ES"/>
        </w:rPr>
        <w:t>s</w:t>
      </w:r>
      <w:r w:rsidRPr="003810DC">
        <w:rPr>
          <w:rFonts w:ascii="Verdana" w:hAnsi="Verdana" w:cs="Arial"/>
          <w:lang w:val="es-ES"/>
        </w:rPr>
        <w:t xml:space="preserve"> de la referencia sometido</w:t>
      </w:r>
      <w:r w:rsidR="00636127" w:rsidRPr="003810DC">
        <w:rPr>
          <w:rFonts w:ascii="Verdana" w:hAnsi="Verdana" w:cs="Arial"/>
          <w:lang w:val="es-ES"/>
        </w:rPr>
        <w:t>s</w:t>
      </w:r>
      <w:r w:rsidRPr="003810DC">
        <w:rPr>
          <w:rFonts w:ascii="Verdana" w:hAnsi="Verdana" w:cs="Arial"/>
          <w:lang w:val="es-ES"/>
        </w:rPr>
        <w:t xml:space="preserve"> a consulta pública.</w:t>
      </w:r>
    </w:p>
    <w:p w14:paraId="53ED62F4" w14:textId="77777777" w:rsidR="00DF4847" w:rsidRPr="003810DC" w:rsidRDefault="00DF4847" w:rsidP="00686E32">
      <w:pPr>
        <w:pStyle w:val="Prrafodelista"/>
        <w:spacing w:line="276" w:lineRule="auto"/>
        <w:jc w:val="both"/>
        <w:rPr>
          <w:rFonts w:ascii="Verdana" w:eastAsia="Calibri" w:hAnsi="Verdana" w:cs="Arial"/>
          <w:lang w:val="es-ES"/>
        </w:rPr>
      </w:pPr>
    </w:p>
    <w:p w14:paraId="54F9FC50" w14:textId="77777777" w:rsidR="00DF4847" w:rsidRPr="003810DC" w:rsidRDefault="00DF4847" w:rsidP="00686E32">
      <w:pPr>
        <w:pStyle w:val="Prrafodelista"/>
        <w:spacing w:line="276" w:lineRule="auto"/>
        <w:jc w:val="both"/>
        <w:rPr>
          <w:rFonts w:ascii="Verdana" w:eastAsia="Calibri" w:hAnsi="Verdana" w:cs="Arial"/>
          <w:lang w:val="es-ES"/>
        </w:rPr>
      </w:pPr>
    </w:p>
    <w:p w14:paraId="15516274" w14:textId="77777777" w:rsidR="00DF4847" w:rsidRPr="003810DC" w:rsidRDefault="00DF4847" w:rsidP="00686E32">
      <w:pPr>
        <w:pStyle w:val="Prrafodelista"/>
        <w:spacing w:line="276" w:lineRule="auto"/>
        <w:jc w:val="both"/>
        <w:rPr>
          <w:rFonts w:ascii="Verdana" w:eastAsia="Calibri" w:hAnsi="Verdana" w:cs="Arial"/>
          <w:lang w:val="es-ES"/>
        </w:rPr>
      </w:pPr>
    </w:p>
    <w:p w14:paraId="6E3ACA5D" w14:textId="77777777" w:rsidR="00DF4847" w:rsidRPr="003810DC" w:rsidRDefault="00DF4847" w:rsidP="00686E32">
      <w:pPr>
        <w:pStyle w:val="Prrafodelista"/>
        <w:spacing w:line="276" w:lineRule="auto"/>
        <w:jc w:val="both"/>
        <w:rPr>
          <w:rFonts w:ascii="Verdana" w:eastAsia="Calibri" w:hAnsi="Verdana" w:cs="Arial"/>
          <w:lang w:val="es-ES"/>
        </w:rPr>
      </w:pPr>
    </w:p>
    <w:p w14:paraId="607243E6" w14:textId="77777777" w:rsidR="00DF4847" w:rsidRPr="003810DC" w:rsidRDefault="00DF4847" w:rsidP="00686E32">
      <w:pPr>
        <w:pStyle w:val="Prrafodelista"/>
        <w:spacing w:line="276" w:lineRule="auto"/>
        <w:jc w:val="both"/>
        <w:rPr>
          <w:rFonts w:ascii="Verdana" w:eastAsia="Calibri" w:hAnsi="Verdana" w:cs="Arial"/>
          <w:lang w:val="es-ES"/>
        </w:rPr>
      </w:pPr>
    </w:p>
    <w:p w14:paraId="1AA3C0F9" w14:textId="77777777" w:rsidR="00DF4847" w:rsidRPr="003810DC" w:rsidRDefault="00DF4847" w:rsidP="00686E32">
      <w:pPr>
        <w:pStyle w:val="Prrafodelista"/>
        <w:spacing w:line="276" w:lineRule="auto"/>
        <w:jc w:val="both"/>
        <w:rPr>
          <w:rFonts w:ascii="Verdana" w:eastAsia="Calibri" w:hAnsi="Verdana" w:cs="Arial"/>
          <w:lang w:val="es-ES"/>
        </w:rPr>
      </w:pPr>
    </w:p>
    <w:p w14:paraId="172ED1F2" w14:textId="77777777" w:rsidR="00DF4847" w:rsidRPr="003810DC" w:rsidRDefault="00DF4847" w:rsidP="00686E32">
      <w:pPr>
        <w:pStyle w:val="Prrafodelista"/>
        <w:spacing w:line="276" w:lineRule="auto"/>
        <w:jc w:val="both"/>
        <w:rPr>
          <w:rFonts w:ascii="Verdana" w:eastAsia="Calibri" w:hAnsi="Verdana" w:cs="Arial"/>
          <w:lang w:val="es-ES"/>
        </w:rPr>
      </w:pPr>
    </w:p>
    <w:p w14:paraId="7A39014F" w14:textId="77777777" w:rsidR="00DF4847" w:rsidRPr="003810DC" w:rsidRDefault="00DF4847" w:rsidP="00686E32">
      <w:pPr>
        <w:pStyle w:val="Prrafodelista"/>
        <w:spacing w:line="276" w:lineRule="auto"/>
        <w:jc w:val="both"/>
        <w:rPr>
          <w:rFonts w:ascii="Verdana" w:eastAsia="Calibri" w:hAnsi="Verdana" w:cs="Arial"/>
          <w:lang w:val="es-ES"/>
        </w:rPr>
      </w:pPr>
    </w:p>
    <w:p w14:paraId="77F43014" w14:textId="77777777" w:rsidR="00DF4847" w:rsidRPr="003810DC" w:rsidRDefault="00DF4847" w:rsidP="00686E32">
      <w:pPr>
        <w:pStyle w:val="Prrafodelista"/>
        <w:spacing w:line="276" w:lineRule="auto"/>
        <w:jc w:val="both"/>
        <w:rPr>
          <w:rFonts w:ascii="Verdana" w:eastAsia="Calibri" w:hAnsi="Verdana" w:cs="Arial"/>
          <w:lang w:val="es-ES"/>
        </w:rPr>
      </w:pPr>
    </w:p>
    <w:p w14:paraId="6DE55D2F" w14:textId="77777777" w:rsidR="00DF4847" w:rsidRPr="003810DC" w:rsidRDefault="00DF4847" w:rsidP="00686E32">
      <w:pPr>
        <w:pStyle w:val="Prrafodelista"/>
        <w:spacing w:line="276" w:lineRule="auto"/>
        <w:jc w:val="both"/>
        <w:rPr>
          <w:rFonts w:ascii="Verdana" w:eastAsia="Calibri" w:hAnsi="Verdana" w:cs="Arial"/>
          <w:lang w:val="es-ES"/>
        </w:rPr>
      </w:pPr>
    </w:p>
    <w:p w14:paraId="1334BFE6" w14:textId="77777777" w:rsidR="00DF4847" w:rsidRPr="003810DC" w:rsidRDefault="00DF4847" w:rsidP="00686E32">
      <w:pPr>
        <w:pStyle w:val="Prrafodelista"/>
        <w:spacing w:line="276" w:lineRule="auto"/>
        <w:jc w:val="both"/>
        <w:rPr>
          <w:rFonts w:ascii="Verdana" w:eastAsia="Calibri" w:hAnsi="Verdana" w:cs="Arial"/>
          <w:lang w:val="es-ES"/>
        </w:rPr>
      </w:pPr>
    </w:p>
    <w:p w14:paraId="69B29CB7" w14:textId="77777777" w:rsidR="00DF4847" w:rsidRPr="003810DC" w:rsidRDefault="00DF4847" w:rsidP="00686E32">
      <w:pPr>
        <w:pStyle w:val="Prrafodelista"/>
        <w:spacing w:line="276" w:lineRule="auto"/>
        <w:jc w:val="both"/>
        <w:rPr>
          <w:rFonts w:ascii="Verdana" w:eastAsia="Calibri" w:hAnsi="Verdana" w:cs="Arial"/>
          <w:lang w:val="es-ES"/>
        </w:rPr>
      </w:pPr>
    </w:p>
    <w:p w14:paraId="0433013C" w14:textId="77777777" w:rsidR="00DF4847" w:rsidRPr="003810DC" w:rsidRDefault="00DF4847" w:rsidP="00686E32">
      <w:pPr>
        <w:pStyle w:val="Prrafodelista"/>
        <w:spacing w:line="276" w:lineRule="auto"/>
        <w:jc w:val="both"/>
        <w:rPr>
          <w:rFonts w:ascii="Verdana" w:eastAsia="Calibri" w:hAnsi="Verdana" w:cs="Arial"/>
          <w:lang w:val="es-ES"/>
        </w:rPr>
      </w:pPr>
    </w:p>
    <w:p w14:paraId="33C30BBA" w14:textId="77777777" w:rsidR="00DF4847" w:rsidRPr="003810DC" w:rsidRDefault="00DF4847" w:rsidP="00686E32">
      <w:pPr>
        <w:pStyle w:val="Prrafodelista"/>
        <w:spacing w:line="276" w:lineRule="auto"/>
        <w:jc w:val="both"/>
        <w:rPr>
          <w:rFonts w:ascii="Verdana" w:eastAsia="Calibri" w:hAnsi="Verdana" w:cs="Arial"/>
          <w:lang w:val="es-ES"/>
        </w:rPr>
      </w:pPr>
    </w:p>
    <w:p w14:paraId="5CA5A97F" w14:textId="77777777" w:rsidR="00DF4847" w:rsidRPr="003810DC" w:rsidRDefault="00DF4847" w:rsidP="00686E32">
      <w:pPr>
        <w:pStyle w:val="Prrafodelista"/>
        <w:spacing w:line="276" w:lineRule="auto"/>
        <w:jc w:val="both"/>
        <w:rPr>
          <w:rFonts w:ascii="Verdana" w:eastAsia="Calibri" w:hAnsi="Verdana" w:cs="Arial"/>
          <w:lang w:val="es-ES"/>
        </w:rPr>
      </w:pPr>
    </w:p>
    <w:p w14:paraId="5A645F8D" w14:textId="77777777" w:rsidR="00DF4847" w:rsidRPr="003810DC" w:rsidRDefault="00DF4847" w:rsidP="00686E32">
      <w:pPr>
        <w:pStyle w:val="Prrafodelista"/>
        <w:spacing w:line="276" w:lineRule="auto"/>
        <w:jc w:val="both"/>
        <w:rPr>
          <w:rFonts w:ascii="Verdana" w:eastAsia="Calibri" w:hAnsi="Verdana" w:cs="Arial"/>
          <w:lang w:val="es-ES"/>
        </w:rPr>
      </w:pPr>
    </w:p>
    <w:p w14:paraId="57B28C12" w14:textId="77777777" w:rsidR="00DF4847" w:rsidRDefault="00DF4847" w:rsidP="004F2259">
      <w:pPr>
        <w:spacing w:line="276" w:lineRule="auto"/>
        <w:jc w:val="both"/>
        <w:outlineLvl w:val="0"/>
        <w:rPr>
          <w:rFonts w:ascii="Verdana" w:eastAsia="Calibri" w:hAnsi="Verdana" w:cs="Arial"/>
          <w:b/>
          <w:lang w:val="es-ES"/>
        </w:rPr>
      </w:pPr>
      <w:r w:rsidRPr="003810DC">
        <w:rPr>
          <w:rFonts w:ascii="Verdana" w:eastAsia="Calibri" w:hAnsi="Verdana" w:cs="Arial"/>
          <w:b/>
          <w:lang w:val="es-ES"/>
        </w:rPr>
        <w:lastRenderedPageBreak/>
        <w:t xml:space="preserve">Comentarios </w:t>
      </w:r>
    </w:p>
    <w:p w14:paraId="77B4854C" w14:textId="2B251C38" w:rsidR="00DB1A36" w:rsidRPr="003810DC" w:rsidRDefault="008D1117" w:rsidP="00686E32">
      <w:pPr>
        <w:pStyle w:val="Prrafodelista"/>
        <w:numPr>
          <w:ilvl w:val="0"/>
          <w:numId w:val="2"/>
        </w:numPr>
        <w:spacing w:after="0" w:line="276" w:lineRule="auto"/>
        <w:jc w:val="both"/>
        <w:rPr>
          <w:rFonts w:ascii="Verdana" w:hAnsi="Verdana" w:cs="Arial"/>
          <w:lang w:val="es-ES"/>
        </w:rPr>
      </w:pPr>
      <w:r w:rsidRPr="003810DC">
        <w:rPr>
          <w:rFonts w:ascii="Verdana" w:hAnsi="Verdana" w:cs="Arial"/>
          <w:lang w:val="es-ES"/>
        </w:rPr>
        <w:t xml:space="preserve">Al efectuar la revisión del </w:t>
      </w:r>
      <w:r w:rsidR="00DB1A36" w:rsidRPr="003810DC">
        <w:rPr>
          <w:rFonts w:ascii="Verdana" w:hAnsi="Verdana" w:cs="Arial"/>
          <w:lang w:val="es-ES"/>
        </w:rPr>
        <w:t xml:space="preserve">Documento Soporte </w:t>
      </w:r>
      <w:r w:rsidR="008F2D89" w:rsidRPr="003810DC">
        <w:rPr>
          <w:rFonts w:ascii="Verdana" w:hAnsi="Verdana" w:cs="Arial"/>
          <w:lang w:val="es-ES"/>
        </w:rPr>
        <w:t xml:space="preserve">se indica </w:t>
      </w:r>
      <w:r w:rsidRPr="003810DC">
        <w:rPr>
          <w:rFonts w:ascii="Verdana" w:hAnsi="Verdana" w:cs="Arial"/>
          <w:lang w:val="es-ES"/>
        </w:rPr>
        <w:t>que</w:t>
      </w:r>
      <w:r w:rsidR="008F2D89" w:rsidRPr="003810DC">
        <w:rPr>
          <w:rFonts w:ascii="Verdana" w:hAnsi="Verdana" w:cs="Arial"/>
          <w:lang w:val="es-ES"/>
        </w:rPr>
        <w:t xml:space="preserve"> existe</w:t>
      </w:r>
      <w:r w:rsidRPr="003810DC">
        <w:rPr>
          <w:rFonts w:ascii="Verdana" w:hAnsi="Verdana" w:cs="Arial"/>
          <w:lang w:val="es-ES"/>
        </w:rPr>
        <w:t xml:space="preserve"> </w:t>
      </w:r>
      <w:r w:rsidR="00DB1A36" w:rsidRPr="003810DC">
        <w:rPr>
          <w:rFonts w:ascii="Verdana" w:hAnsi="Verdana" w:cs="Arial"/>
          <w:lang w:val="es-ES"/>
        </w:rPr>
        <w:t>“</w:t>
      </w:r>
      <w:r w:rsidR="00DB1A36" w:rsidRPr="003810DC">
        <w:rPr>
          <w:rFonts w:ascii="Verdana" w:hAnsi="Verdana" w:cs="Arial"/>
          <w:i/>
          <w:lang w:val="es-ES"/>
        </w:rPr>
        <w:t>un relativo atraso del servicio de Internet móvil, íntimamente ligado al servicio de voz móvil, en comparación con países desarrollados a nivel mundial</w:t>
      </w:r>
      <w:r w:rsidR="00DB1A36" w:rsidRPr="003810DC">
        <w:rPr>
          <w:rFonts w:ascii="Verdana" w:hAnsi="Verdana" w:cs="Arial"/>
          <w:lang w:val="es-ES"/>
        </w:rPr>
        <w:t>”,</w:t>
      </w:r>
      <w:r w:rsidR="00F74517" w:rsidRPr="003810DC">
        <w:rPr>
          <w:rFonts w:ascii="Verdana" w:hAnsi="Verdana" w:cs="Arial"/>
          <w:lang w:val="es-ES"/>
        </w:rPr>
        <w:t xml:space="preserve"> </w:t>
      </w:r>
      <w:r w:rsidR="008F2D89" w:rsidRPr="003810DC">
        <w:rPr>
          <w:rFonts w:ascii="Verdana" w:hAnsi="Verdana" w:cs="Arial"/>
          <w:lang w:val="es-ES"/>
        </w:rPr>
        <w:t>como criterio para determinar la penetración y evolución de este servicio. S</w:t>
      </w:r>
      <w:r w:rsidR="00F74517" w:rsidRPr="003810DC">
        <w:rPr>
          <w:rFonts w:ascii="Verdana" w:hAnsi="Verdana" w:cs="Arial"/>
          <w:lang w:val="es-ES"/>
        </w:rPr>
        <w:t xml:space="preserve">obre el particular hubiese sido </w:t>
      </w:r>
      <w:r w:rsidR="008F2D89" w:rsidRPr="003810DC">
        <w:rPr>
          <w:rFonts w:ascii="Verdana" w:hAnsi="Verdana" w:cs="Arial"/>
          <w:lang w:val="es-ES"/>
        </w:rPr>
        <w:t xml:space="preserve">conveniente </w:t>
      </w:r>
      <w:r w:rsidR="00F74517" w:rsidRPr="003810DC">
        <w:rPr>
          <w:rFonts w:ascii="Verdana" w:hAnsi="Verdana" w:cs="Arial"/>
          <w:lang w:val="es-ES"/>
        </w:rPr>
        <w:t xml:space="preserve">haber efectuado el análisis con países </w:t>
      </w:r>
      <w:r w:rsidR="00DB1A36" w:rsidRPr="003810DC">
        <w:rPr>
          <w:rFonts w:ascii="Verdana" w:hAnsi="Verdana" w:cs="Arial"/>
          <w:lang w:val="es-ES"/>
        </w:rPr>
        <w:t xml:space="preserve">similares, </w:t>
      </w:r>
      <w:r w:rsidR="001D6CD6" w:rsidRPr="003810DC">
        <w:rPr>
          <w:rFonts w:ascii="Verdana" w:hAnsi="Verdana" w:cs="Arial"/>
          <w:lang w:val="es-ES"/>
        </w:rPr>
        <w:t>“</w:t>
      </w:r>
      <w:r w:rsidR="00DB1A36" w:rsidRPr="003810DC">
        <w:rPr>
          <w:rFonts w:ascii="Verdana" w:hAnsi="Verdana" w:cs="Arial"/>
          <w:i/>
          <w:lang w:val="es-ES"/>
        </w:rPr>
        <w:t>en vías de desarrollo</w:t>
      </w:r>
      <w:r w:rsidR="001D6CD6" w:rsidRPr="003810DC">
        <w:rPr>
          <w:rFonts w:ascii="Verdana" w:hAnsi="Verdana" w:cs="Arial"/>
          <w:i/>
          <w:lang w:val="es-ES"/>
        </w:rPr>
        <w:t>”</w:t>
      </w:r>
      <w:r w:rsidR="00DB1A36" w:rsidRPr="003810DC">
        <w:rPr>
          <w:rFonts w:ascii="Verdana" w:hAnsi="Verdana" w:cs="Arial"/>
          <w:i/>
          <w:lang w:val="es-ES"/>
        </w:rPr>
        <w:t>,</w:t>
      </w:r>
      <w:r w:rsidR="00DB1A36" w:rsidRPr="003810DC">
        <w:rPr>
          <w:rFonts w:ascii="Verdana" w:hAnsi="Verdana" w:cs="Arial"/>
          <w:lang w:val="es-ES"/>
        </w:rPr>
        <w:t xml:space="preserve"> tanto de América Latina como del mundo</w:t>
      </w:r>
      <w:r w:rsidR="00F74517" w:rsidRPr="003810DC">
        <w:rPr>
          <w:rFonts w:ascii="Verdana" w:hAnsi="Verdana" w:cs="Arial"/>
          <w:lang w:val="es-ES"/>
        </w:rPr>
        <w:t>, ya que presentan un comportamiento similar al modelo colombiano</w:t>
      </w:r>
      <w:r w:rsidR="00DB1A36" w:rsidRPr="003810DC">
        <w:rPr>
          <w:rFonts w:ascii="Verdana" w:hAnsi="Verdana" w:cs="Arial"/>
          <w:lang w:val="es-ES"/>
        </w:rPr>
        <w:t>.</w:t>
      </w:r>
    </w:p>
    <w:p w14:paraId="636AB0FD" w14:textId="77777777" w:rsidR="003A70C2" w:rsidRPr="003810DC" w:rsidRDefault="003A70C2" w:rsidP="00686E32">
      <w:pPr>
        <w:pStyle w:val="Prrafodelista"/>
        <w:spacing w:after="0" w:line="276" w:lineRule="auto"/>
        <w:ind w:left="360"/>
        <w:jc w:val="both"/>
        <w:rPr>
          <w:rFonts w:ascii="Verdana" w:hAnsi="Verdana" w:cs="Arial"/>
          <w:lang w:val="es-ES"/>
        </w:rPr>
      </w:pPr>
    </w:p>
    <w:p w14:paraId="04CAAD4C" w14:textId="33EA67CB" w:rsidR="0060623E" w:rsidRPr="003810DC" w:rsidRDefault="008F2D89" w:rsidP="0060623E">
      <w:pPr>
        <w:pStyle w:val="Prrafodelista"/>
        <w:numPr>
          <w:ilvl w:val="0"/>
          <w:numId w:val="2"/>
        </w:numPr>
        <w:spacing w:after="0" w:line="276" w:lineRule="auto"/>
        <w:jc w:val="both"/>
        <w:rPr>
          <w:rFonts w:ascii="Verdana" w:hAnsi="Verdana" w:cs="Arial"/>
          <w:lang w:val="es-ES"/>
        </w:rPr>
      </w:pPr>
      <w:r w:rsidRPr="003810DC">
        <w:rPr>
          <w:rFonts w:ascii="Verdana" w:hAnsi="Verdana" w:cs="Arial"/>
          <w:lang w:val="es-ES"/>
        </w:rPr>
        <w:t>Efectuando una lectura del Documento Soporte</w:t>
      </w:r>
      <w:r w:rsidR="0057169F" w:rsidRPr="0057169F">
        <w:rPr>
          <w:rFonts w:ascii="Verdana" w:hAnsi="Verdana" w:cs="Arial"/>
          <w:lang w:val="es-ES"/>
        </w:rPr>
        <w:t>, se considera que ser</w:t>
      </w:r>
      <w:r w:rsidR="0057169F">
        <w:rPr>
          <w:rFonts w:ascii="Verdana" w:hAnsi="Verdana" w:cs="Arial"/>
          <w:lang w:val="es-ES"/>
        </w:rPr>
        <w:t>í</w:t>
      </w:r>
      <w:r w:rsidR="0098365A" w:rsidRPr="003810DC">
        <w:rPr>
          <w:rFonts w:ascii="Verdana" w:hAnsi="Verdana" w:cs="Arial"/>
          <w:lang w:val="es-ES"/>
        </w:rPr>
        <w:t>a oportuno</w:t>
      </w:r>
      <w:r w:rsidR="0057169F" w:rsidRPr="0057169F">
        <w:rPr>
          <w:rFonts w:ascii="Verdana" w:hAnsi="Verdana" w:cs="Arial"/>
          <w:lang w:val="es-ES"/>
        </w:rPr>
        <w:t xml:space="preserve"> explicar de manera m</w:t>
      </w:r>
      <w:r w:rsidR="0057169F">
        <w:rPr>
          <w:rFonts w:ascii="Verdana" w:hAnsi="Verdana" w:cs="Arial"/>
          <w:lang w:val="es-ES"/>
        </w:rPr>
        <w:t>á</w:t>
      </w:r>
      <w:r w:rsidR="0098365A" w:rsidRPr="003810DC">
        <w:rPr>
          <w:rFonts w:ascii="Verdana" w:hAnsi="Verdana" w:cs="Arial"/>
          <w:lang w:val="es-ES"/>
        </w:rPr>
        <w:t>s amplia las razones</w:t>
      </w:r>
      <w:r w:rsidRPr="003810DC">
        <w:rPr>
          <w:rFonts w:ascii="Verdana" w:hAnsi="Verdana" w:cs="Arial"/>
          <w:lang w:val="es-ES"/>
        </w:rPr>
        <w:t xml:space="preserve"> por las cuales existe una </w:t>
      </w:r>
      <w:r w:rsidR="005F7063" w:rsidRPr="003810DC">
        <w:rPr>
          <w:lang w:val="es-ES"/>
        </w:rPr>
        <w:t>“</w:t>
      </w:r>
      <w:r w:rsidR="005F7063" w:rsidRPr="003810DC">
        <w:rPr>
          <w:rFonts w:ascii="Verdana" w:hAnsi="Verdana" w:cs="Arial"/>
          <w:i/>
          <w:lang w:val="es-ES"/>
        </w:rPr>
        <w:t>Baja penetración del servicio de internet móvil en Colombia</w:t>
      </w:r>
      <w:r w:rsidR="005F7063" w:rsidRPr="003810DC">
        <w:rPr>
          <w:rFonts w:ascii="Verdana" w:hAnsi="Verdana" w:cs="Arial"/>
          <w:lang w:val="es-ES"/>
        </w:rPr>
        <w:t xml:space="preserve">”, </w:t>
      </w:r>
      <w:r w:rsidRPr="003810DC">
        <w:rPr>
          <w:rFonts w:ascii="Verdana" w:hAnsi="Verdana" w:cs="Arial"/>
          <w:lang w:val="es-ES"/>
        </w:rPr>
        <w:t>precisa</w:t>
      </w:r>
      <w:r w:rsidR="0057169F">
        <w:rPr>
          <w:rFonts w:ascii="Verdana" w:hAnsi="Verdana" w:cs="Arial"/>
          <w:lang w:val="es-ES"/>
        </w:rPr>
        <w:t>ndo</w:t>
      </w:r>
      <w:r w:rsidRPr="003810DC">
        <w:rPr>
          <w:rFonts w:ascii="Verdana" w:hAnsi="Verdana" w:cs="Arial"/>
          <w:lang w:val="es-ES"/>
        </w:rPr>
        <w:t xml:space="preserve"> que factores incid</w:t>
      </w:r>
      <w:r w:rsidR="0060623E" w:rsidRPr="003810DC">
        <w:rPr>
          <w:rFonts w:ascii="Verdana" w:hAnsi="Verdana" w:cs="Arial"/>
          <w:lang w:val="es-ES"/>
        </w:rPr>
        <w:t>en para la determin</w:t>
      </w:r>
      <w:r w:rsidR="00050766" w:rsidRPr="003810DC">
        <w:rPr>
          <w:rFonts w:ascii="Verdana" w:hAnsi="Verdana" w:cs="Arial"/>
          <w:lang w:val="es-ES"/>
        </w:rPr>
        <w:t xml:space="preserve">ación de la misma </w:t>
      </w:r>
      <w:r w:rsidR="0060623E" w:rsidRPr="003810DC">
        <w:rPr>
          <w:rFonts w:ascii="Verdana" w:hAnsi="Verdana" w:cs="Arial"/>
          <w:lang w:val="es-ES"/>
        </w:rPr>
        <w:t>y si existe una ponderación entre ellos.</w:t>
      </w:r>
    </w:p>
    <w:p w14:paraId="7CA55E37" w14:textId="77777777" w:rsidR="0060623E" w:rsidRPr="003810DC" w:rsidRDefault="0060623E" w:rsidP="0060623E">
      <w:pPr>
        <w:pStyle w:val="Prrafodelista"/>
        <w:rPr>
          <w:rFonts w:ascii="Verdana" w:hAnsi="Verdana" w:cs="Arial"/>
          <w:lang w:val="es-ES"/>
        </w:rPr>
      </w:pPr>
    </w:p>
    <w:p w14:paraId="43C14952" w14:textId="7B9F24AB" w:rsidR="00984619" w:rsidRPr="003810DC" w:rsidRDefault="0060623E" w:rsidP="00400772">
      <w:pPr>
        <w:pStyle w:val="Prrafodelista"/>
        <w:numPr>
          <w:ilvl w:val="0"/>
          <w:numId w:val="2"/>
        </w:numPr>
        <w:spacing w:after="0" w:line="276" w:lineRule="auto"/>
        <w:jc w:val="both"/>
        <w:rPr>
          <w:rFonts w:ascii="Verdana" w:hAnsi="Verdana" w:cs="Arial"/>
          <w:lang w:val="es-ES"/>
        </w:rPr>
      </w:pPr>
      <w:r w:rsidRPr="003810DC">
        <w:rPr>
          <w:rFonts w:ascii="Verdana" w:hAnsi="Verdana" w:cs="Arial"/>
          <w:lang w:val="es-ES"/>
        </w:rPr>
        <w:t xml:space="preserve"> </w:t>
      </w:r>
      <w:r w:rsidR="005F7063" w:rsidRPr="003810DC">
        <w:rPr>
          <w:rFonts w:ascii="Verdana" w:hAnsi="Verdana" w:cs="Arial"/>
          <w:lang w:val="es-ES"/>
        </w:rPr>
        <w:t xml:space="preserve">En concreto, podría </w:t>
      </w:r>
      <w:r w:rsidR="00597317" w:rsidRPr="003810DC">
        <w:rPr>
          <w:rFonts w:ascii="Verdana" w:hAnsi="Verdana" w:cs="Arial"/>
          <w:lang w:val="es-ES"/>
        </w:rPr>
        <w:t>plantearse como hipótesis</w:t>
      </w:r>
      <w:r w:rsidR="005F7063" w:rsidRPr="003810DC">
        <w:rPr>
          <w:rFonts w:ascii="Verdana" w:hAnsi="Verdana" w:cs="Arial"/>
          <w:lang w:val="es-ES"/>
        </w:rPr>
        <w:t xml:space="preserve"> que la causa denominada “</w:t>
      </w:r>
      <w:r w:rsidR="005F7063" w:rsidRPr="003810DC">
        <w:rPr>
          <w:rFonts w:ascii="Verdana" w:hAnsi="Verdana" w:cs="Arial"/>
          <w:i/>
          <w:lang w:val="es-ES"/>
        </w:rPr>
        <w:t>Entorno macroeconómico</w:t>
      </w:r>
      <w:r w:rsidR="005F7063" w:rsidRPr="003810DC">
        <w:rPr>
          <w:rFonts w:ascii="Verdana" w:hAnsi="Verdana" w:cs="Arial"/>
          <w:lang w:val="es-ES"/>
        </w:rPr>
        <w:t>”</w:t>
      </w:r>
      <w:r w:rsidR="00F4683E" w:rsidRPr="003810DC">
        <w:rPr>
          <w:rFonts w:ascii="Verdana" w:hAnsi="Verdana" w:cs="Arial"/>
          <w:lang w:val="es-ES"/>
        </w:rPr>
        <w:t xml:space="preserve"> es la predominante o la que más influencia tiene en el curso causal que </w:t>
      </w:r>
      <w:r w:rsidR="00BA27D5" w:rsidRPr="003810DC">
        <w:rPr>
          <w:rFonts w:ascii="Verdana" w:hAnsi="Verdana" w:cs="Arial"/>
          <w:lang w:val="es-ES"/>
        </w:rPr>
        <w:t xml:space="preserve">termina en la baja adquisición de </w:t>
      </w:r>
      <w:r w:rsidR="00BA27D5" w:rsidRPr="003810DC">
        <w:rPr>
          <w:rFonts w:ascii="Verdana" w:hAnsi="Verdana" w:cs="Arial"/>
          <w:i/>
          <w:lang w:val="es-ES"/>
        </w:rPr>
        <w:t xml:space="preserve">smartphones, </w:t>
      </w:r>
      <w:r w:rsidR="00597317" w:rsidRPr="003810DC">
        <w:rPr>
          <w:rFonts w:ascii="Verdana" w:hAnsi="Verdana" w:cs="Arial"/>
          <w:lang w:val="es-ES"/>
        </w:rPr>
        <w:t>supuesto que podría verse confirmado por la caída general del consumo de lo</w:t>
      </w:r>
      <w:r w:rsidR="00F271D5" w:rsidRPr="003810DC">
        <w:rPr>
          <w:rFonts w:ascii="Verdana" w:hAnsi="Verdana" w:cs="Arial"/>
          <w:lang w:val="es-ES"/>
        </w:rPr>
        <w:t>s</w:t>
      </w:r>
      <w:r w:rsidR="00597317" w:rsidRPr="003810DC">
        <w:rPr>
          <w:rFonts w:ascii="Verdana" w:hAnsi="Verdana" w:cs="Arial"/>
          <w:lang w:val="es-ES"/>
        </w:rPr>
        <w:t xml:space="preserve"> hogares</w:t>
      </w:r>
      <w:r w:rsidR="00F271D5" w:rsidRPr="003810DC">
        <w:rPr>
          <w:rFonts w:ascii="Verdana" w:hAnsi="Verdana" w:cs="Arial"/>
          <w:lang w:val="es-ES"/>
        </w:rPr>
        <w:t xml:space="preserve"> colombianos</w:t>
      </w:r>
      <w:r w:rsidR="00A16F72" w:rsidRPr="003810DC">
        <w:rPr>
          <w:rFonts w:ascii="Verdana" w:hAnsi="Verdana" w:cs="Arial"/>
          <w:lang w:val="es-ES"/>
        </w:rPr>
        <w:t>.</w:t>
      </w:r>
    </w:p>
    <w:p w14:paraId="6926B4B0" w14:textId="77777777" w:rsidR="00B63984" w:rsidRPr="003810DC" w:rsidRDefault="00B63984" w:rsidP="00686E32">
      <w:pPr>
        <w:pStyle w:val="Prrafodelista"/>
        <w:spacing w:after="0" w:line="276" w:lineRule="auto"/>
        <w:ind w:left="360"/>
        <w:jc w:val="both"/>
        <w:rPr>
          <w:rFonts w:ascii="Verdana" w:hAnsi="Verdana" w:cs="Arial"/>
          <w:lang w:val="es-ES"/>
        </w:rPr>
      </w:pPr>
    </w:p>
    <w:p w14:paraId="0CEEC558" w14:textId="0B1C6ECA" w:rsidR="00272F98" w:rsidRPr="003810DC" w:rsidRDefault="00400772" w:rsidP="00686E32">
      <w:pPr>
        <w:spacing w:after="0" w:line="276" w:lineRule="auto"/>
        <w:ind w:left="360"/>
        <w:jc w:val="both"/>
        <w:rPr>
          <w:rFonts w:ascii="Verdana" w:hAnsi="Verdana" w:cs="Arial"/>
          <w:lang w:val="es-ES"/>
        </w:rPr>
      </w:pPr>
      <w:r w:rsidRPr="003810DC">
        <w:rPr>
          <w:rFonts w:ascii="Verdana" w:hAnsi="Verdana" w:cs="Arial"/>
          <w:lang w:val="es-ES"/>
        </w:rPr>
        <w:t xml:space="preserve">Igualmente, sería conveniente que se incluyera una explicación </w:t>
      </w:r>
      <w:r w:rsidR="00CF097F" w:rsidRPr="003810DC">
        <w:rPr>
          <w:rFonts w:ascii="Verdana" w:hAnsi="Verdana" w:cs="Arial"/>
          <w:lang w:val="es-ES"/>
        </w:rPr>
        <w:t xml:space="preserve">más detallada sobre cómo se </w:t>
      </w:r>
      <w:r w:rsidR="003E3AF3" w:rsidRPr="003810DC">
        <w:rPr>
          <w:rFonts w:ascii="Verdana" w:hAnsi="Verdana" w:cs="Arial"/>
          <w:lang w:val="es-ES"/>
        </w:rPr>
        <w:t>determinaron</w:t>
      </w:r>
      <w:r w:rsidR="00CF097F" w:rsidRPr="003810DC">
        <w:rPr>
          <w:rFonts w:ascii="Verdana" w:hAnsi="Verdana" w:cs="Arial"/>
          <w:lang w:val="es-ES"/>
        </w:rPr>
        <w:t xml:space="preserve"> las causas </w:t>
      </w:r>
      <w:r w:rsidR="003E3AF3" w:rsidRPr="003810DC">
        <w:rPr>
          <w:rFonts w:ascii="Verdana" w:hAnsi="Verdana" w:cs="Arial"/>
          <w:lang w:val="es-ES"/>
        </w:rPr>
        <w:t>y las relaciones causales</w:t>
      </w:r>
      <w:r w:rsidRPr="003810DC">
        <w:rPr>
          <w:rFonts w:ascii="Verdana" w:hAnsi="Verdana" w:cs="Arial"/>
          <w:lang w:val="es-ES"/>
        </w:rPr>
        <w:t>.</w:t>
      </w:r>
    </w:p>
    <w:p w14:paraId="3F1568AE" w14:textId="77777777" w:rsidR="00B63984" w:rsidRPr="003810DC" w:rsidRDefault="00B63984" w:rsidP="00686E32">
      <w:pPr>
        <w:spacing w:after="0" w:line="276" w:lineRule="auto"/>
        <w:ind w:left="360"/>
        <w:jc w:val="both"/>
        <w:rPr>
          <w:rFonts w:ascii="Verdana" w:hAnsi="Verdana" w:cs="Arial"/>
          <w:lang w:val="es-ES"/>
        </w:rPr>
      </w:pPr>
    </w:p>
    <w:p w14:paraId="2E84338D" w14:textId="68D58678" w:rsidR="00B63984" w:rsidRPr="00194D56" w:rsidRDefault="00272F98" w:rsidP="003C030A">
      <w:pPr>
        <w:pStyle w:val="Prrafodelista"/>
        <w:numPr>
          <w:ilvl w:val="0"/>
          <w:numId w:val="2"/>
        </w:numPr>
        <w:spacing w:after="0" w:line="276" w:lineRule="auto"/>
        <w:jc w:val="both"/>
        <w:rPr>
          <w:rFonts w:ascii="Verdana" w:hAnsi="Verdana" w:cs="Arial"/>
          <w:lang w:val="es-ES"/>
        </w:rPr>
      </w:pPr>
      <w:r w:rsidRPr="003810DC">
        <w:rPr>
          <w:rFonts w:ascii="Verdana" w:hAnsi="Verdana" w:cs="Arial"/>
          <w:lang w:val="es-ES"/>
        </w:rPr>
        <w:t>Con relación al numeral 3.1.1.I. (Incremento en los precios de los E</w:t>
      </w:r>
      <w:r w:rsidR="000111BC" w:rsidRPr="003810DC">
        <w:rPr>
          <w:rFonts w:ascii="Verdana" w:hAnsi="Verdana" w:cs="Arial"/>
          <w:lang w:val="es-ES"/>
        </w:rPr>
        <w:t xml:space="preserve">quipos </w:t>
      </w:r>
      <w:r w:rsidRPr="003810DC">
        <w:rPr>
          <w:rFonts w:ascii="Verdana" w:hAnsi="Verdana" w:cs="Arial"/>
          <w:lang w:val="es-ES"/>
        </w:rPr>
        <w:t>T</w:t>
      </w:r>
      <w:r w:rsidR="000111BC" w:rsidRPr="003810DC">
        <w:rPr>
          <w:rFonts w:ascii="Verdana" w:hAnsi="Verdana" w:cs="Arial"/>
          <w:lang w:val="es-ES"/>
        </w:rPr>
        <w:t xml:space="preserve">erminales </w:t>
      </w:r>
      <w:r w:rsidRPr="003810DC">
        <w:rPr>
          <w:rFonts w:ascii="Verdana" w:hAnsi="Verdana" w:cs="Arial"/>
          <w:lang w:val="es-ES"/>
        </w:rPr>
        <w:t>M</w:t>
      </w:r>
      <w:r w:rsidR="000111BC" w:rsidRPr="003810DC">
        <w:rPr>
          <w:rFonts w:ascii="Verdana" w:hAnsi="Verdana" w:cs="Arial"/>
          <w:lang w:val="es-ES"/>
        </w:rPr>
        <w:t>óviles, en adelante ETM</w:t>
      </w:r>
      <w:r w:rsidRPr="003810DC">
        <w:rPr>
          <w:rFonts w:ascii="Verdana" w:hAnsi="Verdana" w:cs="Arial"/>
          <w:lang w:val="es-ES"/>
        </w:rPr>
        <w:t xml:space="preserve">), </w:t>
      </w:r>
      <w:r w:rsidR="00460AB9" w:rsidRPr="003810DC">
        <w:rPr>
          <w:rFonts w:ascii="Verdana" w:hAnsi="Verdana" w:cs="Arial"/>
          <w:lang w:val="es-ES"/>
        </w:rPr>
        <w:t xml:space="preserve">hubiese sido ideal que el estudio </w:t>
      </w:r>
      <w:r w:rsidRPr="003810DC">
        <w:rPr>
          <w:rFonts w:ascii="Verdana" w:hAnsi="Verdana" w:cs="Arial"/>
          <w:lang w:val="es-ES"/>
        </w:rPr>
        <w:t>presentado por GFK</w:t>
      </w:r>
      <w:r w:rsidR="00460AB9" w:rsidRPr="003810DC">
        <w:rPr>
          <w:rFonts w:ascii="Verdana" w:hAnsi="Verdana" w:cs="Arial"/>
          <w:lang w:val="es-ES"/>
        </w:rPr>
        <w:t>, incorporará un período más amplio</w:t>
      </w:r>
      <w:r w:rsidR="003810DC">
        <w:rPr>
          <w:rFonts w:ascii="Verdana" w:hAnsi="Verdana" w:cs="Arial"/>
          <w:lang w:val="es-ES"/>
        </w:rPr>
        <w:t>, a partir</w:t>
      </w:r>
      <w:r w:rsidR="00460AB9" w:rsidRPr="003810DC">
        <w:rPr>
          <w:rFonts w:ascii="Verdana" w:hAnsi="Verdana" w:cs="Arial"/>
          <w:lang w:val="es-ES"/>
        </w:rPr>
        <w:t xml:space="preserve">  </w:t>
      </w:r>
      <w:r w:rsidR="003810DC">
        <w:rPr>
          <w:rFonts w:ascii="Verdana" w:hAnsi="Verdana" w:cs="Arial"/>
          <w:lang w:val="es-ES"/>
        </w:rPr>
        <w:t xml:space="preserve">del </w:t>
      </w:r>
      <w:r w:rsidR="00593101">
        <w:rPr>
          <w:rFonts w:ascii="Verdana" w:hAnsi="Verdana" w:cs="Arial"/>
          <w:lang w:val="es-ES"/>
        </w:rPr>
        <w:t xml:space="preserve">año </w:t>
      </w:r>
      <w:r w:rsidR="00460AB9" w:rsidRPr="00194D56">
        <w:rPr>
          <w:rFonts w:ascii="Verdana" w:hAnsi="Verdana" w:cs="Arial"/>
          <w:lang w:val="es-ES"/>
        </w:rPr>
        <w:t>2013 y no desde el año 2015</w:t>
      </w:r>
      <w:r w:rsidR="003810DC">
        <w:rPr>
          <w:rFonts w:ascii="Verdana" w:hAnsi="Verdana" w:cs="Arial"/>
          <w:lang w:val="es-ES"/>
        </w:rPr>
        <w:t>,</w:t>
      </w:r>
      <w:r w:rsidR="00593101">
        <w:rPr>
          <w:rFonts w:ascii="Verdana" w:hAnsi="Verdana" w:cs="Arial"/>
          <w:lang w:val="es-ES"/>
        </w:rPr>
        <w:t xml:space="preserve"> </w:t>
      </w:r>
      <w:r w:rsidRPr="00194D56">
        <w:rPr>
          <w:rFonts w:ascii="Verdana" w:hAnsi="Verdana" w:cs="Arial"/>
          <w:lang w:val="es-ES"/>
        </w:rPr>
        <w:t>con el fin de comparar los precios antes y despu</w:t>
      </w:r>
      <w:r w:rsidR="00460AB9" w:rsidRPr="00194D56">
        <w:rPr>
          <w:rFonts w:ascii="Verdana" w:hAnsi="Verdana" w:cs="Arial"/>
          <w:lang w:val="es-ES"/>
        </w:rPr>
        <w:t>és de la expedición</w:t>
      </w:r>
      <w:r w:rsidR="000111BC" w:rsidRPr="00194D56">
        <w:rPr>
          <w:rFonts w:ascii="Verdana" w:hAnsi="Verdana" w:cs="Arial"/>
          <w:lang w:val="es-ES"/>
        </w:rPr>
        <w:t xml:space="preserve"> de la Resolución</w:t>
      </w:r>
      <w:r w:rsidR="00593101">
        <w:rPr>
          <w:rFonts w:ascii="Verdana" w:hAnsi="Verdana" w:cs="Arial"/>
          <w:lang w:val="es-ES"/>
        </w:rPr>
        <w:t xml:space="preserve"> 4444 de 2014</w:t>
      </w:r>
      <w:r w:rsidR="000111BC" w:rsidRPr="00194D56">
        <w:rPr>
          <w:rFonts w:ascii="Verdana" w:hAnsi="Verdana" w:cs="Arial"/>
          <w:lang w:val="es-ES"/>
        </w:rPr>
        <w:t>.</w:t>
      </w:r>
      <w:r w:rsidRPr="00194D56">
        <w:rPr>
          <w:rFonts w:ascii="Verdana" w:hAnsi="Verdana" w:cs="Arial"/>
          <w:lang w:val="es-ES"/>
        </w:rPr>
        <w:t xml:space="preserve"> </w:t>
      </w:r>
    </w:p>
    <w:p w14:paraId="106BFF1C" w14:textId="77777777" w:rsidR="000111BC" w:rsidRPr="00194D56" w:rsidRDefault="000111BC" w:rsidP="000111BC">
      <w:pPr>
        <w:pStyle w:val="Prrafodelista"/>
        <w:spacing w:after="0" w:line="276" w:lineRule="auto"/>
        <w:ind w:left="360"/>
        <w:jc w:val="both"/>
        <w:rPr>
          <w:rFonts w:ascii="Verdana" w:hAnsi="Verdana" w:cs="Arial"/>
          <w:lang w:val="es-ES"/>
        </w:rPr>
      </w:pPr>
    </w:p>
    <w:p w14:paraId="20BA61FF" w14:textId="28FFBEB5" w:rsidR="009C6C85" w:rsidRPr="00194D56" w:rsidRDefault="00D7318C" w:rsidP="00686E32">
      <w:pPr>
        <w:pStyle w:val="Prrafodelista"/>
        <w:numPr>
          <w:ilvl w:val="0"/>
          <w:numId w:val="2"/>
        </w:numPr>
        <w:spacing w:after="0" w:line="276" w:lineRule="auto"/>
        <w:jc w:val="both"/>
        <w:rPr>
          <w:rFonts w:ascii="Arial" w:eastAsia="Times New Roman" w:hAnsi="Arial" w:cs="Arial"/>
          <w:color w:val="333333"/>
          <w:sz w:val="21"/>
          <w:szCs w:val="21"/>
          <w:lang w:val="es-ES" w:eastAsia="es-CO"/>
        </w:rPr>
      </w:pPr>
      <w:r>
        <w:rPr>
          <w:rFonts w:ascii="Verdana" w:hAnsi="Verdana" w:cs="Arial"/>
          <w:lang w:val="es-ES"/>
        </w:rPr>
        <w:t>Se c</w:t>
      </w:r>
      <w:r w:rsidR="009C6C85" w:rsidRPr="003810DC">
        <w:rPr>
          <w:rFonts w:ascii="Verdana" w:hAnsi="Verdana" w:cs="Arial"/>
          <w:lang w:val="es-ES"/>
        </w:rPr>
        <w:t>onsider</w:t>
      </w:r>
      <w:r>
        <w:rPr>
          <w:rFonts w:ascii="Verdana" w:hAnsi="Verdana" w:cs="Arial"/>
          <w:lang w:val="es-ES"/>
        </w:rPr>
        <w:t>a</w:t>
      </w:r>
      <w:r w:rsidR="009C6C85" w:rsidRPr="003810DC">
        <w:rPr>
          <w:rFonts w:ascii="Verdana" w:hAnsi="Verdana" w:cs="Arial"/>
          <w:lang w:val="es-ES"/>
        </w:rPr>
        <w:t xml:space="preserve"> </w:t>
      </w:r>
      <w:r w:rsidR="009C6C85" w:rsidRPr="00194D56">
        <w:rPr>
          <w:rFonts w:ascii="Verdana" w:hAnsi="Verdana" w:cs="Arial"/>
          <w:lang w:val="es-ES"/>
        </w:rPr>
        <w:t xml:space="preserve">que para equilibrar verdaderamente el campo de juego y alcanzar el objetivo de incrementar la penetración del Internet móvil, </w:t>
      </w:r>
      <w:r w:rsidR="00236277" w:rsidRPr="00194D56">
        <w:rPr>
          <w:rFonts w:ascii="Verdana" w:hAnsi="Verdana" w:cs="Arial"/>
          <w:lang w:val="es-ES"/>
        </w:rPr>
        <w:t xml:space="preserve"> </w:t>
      </w:r>
      <w:r w:rsidR="00236277" w:rsidRPr="003810DC">
        <w:rPr>
          <w:rFonts w:ascii="Verdana" w:hAnsi="Verdana" w:cs="Arial"/>
          <w:lang w:val="es-ES"/>
        </w:rPr>
        <w:t>se</w:t>
      </w:r>
      <w:r>
        <w:rPr>
          <w:rFonts w:ascii="Verdana" w:hAnsi="Verdana" w:cs="Arial"/>
          <w:lang w:val="es-ES"/>
        </w:rPr>
        <w:t>ría pertinente considerar</w:t>
      </w:r>
      <w:r w:rsidR="00236277" w:rsidRPr="00194D56">
        <w:rPr>
          <w:rFonts w:ascii="Verdana" w:hAnsi="Verdana" w:cs="Arial"/>
          <w:lang w:val="es-ES"/>
        </w:rPr>
        <w:t xml:space="preserve"> la posibilidad de que las grandes </w:t>
      </w:r>
      <w:r w:rsidR="009C6C85" w:rsidRPr="00194D56">
        <w:rPr>
          <w:rFonts w:ascii="Verdana" w:hAnsi="Verdana" w:cs="Arial"/>
          <w:lang w:val="es-ES"/>
        </w:rPr>
        <w:t xml:space="preserve">superficies y demás comercializadores alternativos </w:t>
      </w:r>
      <w:r w:rsidR="00236277" w:rsidRPr="00194D56">
        <w:rPr>
          <w:rFonts w:ascii="Verdana" w:hAnsi="Verdana" w:cs="Arial"/>
          <w:lang w:val="es-ES"/>
        </w:rPr>
        <w:t xml:space="preserve">puedan aumentar </w:t>
      </w:r>
      <w:r w:rsidR="009C6C85" w:rsidRPr="00194D56">
        <w:rPr>
          <w:rFonts w:ascii="Verdana" w:hAnsi="Verdana" w:cs="Arial"/>
          <w:lang w:val="es-ES"/>
        </w:rPr>
        <w:t>la oferta de terminales 3G y 4G, y</w:t>
      </w:r>
      <w:r w:rsidR="00E91BEE" w:rsidRPr="00194D56">
        <w:rPr>
          <w:rFonts w:ascii="Verdana" w:hAnsi="Verdana" w:cs="Arial"/>
          <w:lang w:val="es-ES"/>
        </w:rPr>
        <w:t xml:space="preserve"> </w:t>
      </w:r>
      <w:r w:rsidR="00AD7E57" w:rsidRPr="00194D56">
        <w:rPr>
          <w:rFonts w:ascii="Verdana" w:hAnsi="Verdana" w:cs="Arial"/>
          <w:lang w:val="es-ES"/>
        </w:rPr>
        <w:t>que</w:t>
      </w:r>
      <w:r>
        <w:rPr>
          <w:rFonts w:ascii="Verdana" w:hAnsi="Verdana" w:cs="Arial"/>
          <w:lang w:val="es-ES"/>
        </w:rPr>
        <w:t>,</w:t>
      </w:r>
      <w:r w:rsidR="00AD7E57" w:rsidRPr="00194D56">
        <w:rPr>
          <w:rFonts w:ascii="Verdana" w:hAnsi="Verdana" w:cs="Arial"/>
          <w:lang w:val="es-ES"/>
        </w:rPr>
        <w:t xml:space="preserve"> </w:t>
      </w:r>
      <w:r w:rsidR="00E91BEE" w:rsidRPr="00194D56">
        <w:rPr>
          <w:rFonts w:ascii="Verdana" w:hAnsi="Verdana" w:cs="Arial"/>
          <w:lang w:val="es-ES"/>
        </w:rPr>
        <w:t>correlativamente</w:t>
      </w:r>
      <w:r w:rsidR="009C6C85" w:rsidRPr="00194D56">
        <w:rPr>
          <w:rFonts w:ascii="Verdana" w:hAnsi="Verdana" w:cs="Arial"/>
          <w:lang w:val="es-ES"/>
        </w:rPr>
        <w:t xml:space="preserve"> </w:t>
      </w:r>
      <w:r w:rsidR="00C77DC8" w:rsidRPr="00194D56">
        <w:rPr>
          <w:rFonts w:ascii="Verdana" w:hAnsi="Verdana" w:cs="Arial"/>
          <w:lang w:val="es-ES"/>
        </w:rPr>
        <w:t>reduzcan</w:t>
      </w:r>
      <w:r w:rsidR="009C6C85" w:rsidRPr="00194D56">
        <w:rPr>
          <w:rFonts w:ascii="Verdana" w:hAnsi="Verdana" w:cs="Arial"/>
          <w:lang w:val="es-ES"/>
        </w:rPr>
        <w:t xml:space="preserve"> la oferta de equipos 2G</w:t>
      </w:r>
      <w:r w:rsidR="008E2B99" w:rsidRPr="00194D56">
        <w:rPr>
          <w:rFonts w:ascii="Verdana" w:hAnsi="Verdana" w:cs="Arial"/>
          <w:lang w:val="es-ES"/>
        </w:rPr>
        <w:t>, bien sea en el marco de una política pública expedida por MinTIC o</w:t>
      </w:r>
      <w:r>
        <w:rPr>
          <w:rFonts w:ascii="Verdana" w:hAnsi="Verdana" w:cs="Arial"/>
          <w:lang w:val="es-ES"/>
        </w:rPr>
        <w:t>,</w:t>
      </w:r>
      <w:r w:rsidR="008E2B99" w:rsidRPr="003810DC">
        <w:rPr>
          <w:rFonts w:ascii="Verdana" w:hAnsi="Verdana" w:cs="Arial"/>
          <w:lang w:val="es-ES"/>
        </w:rPr>
        <w:t xml:space="preserve"> </w:t>
      </w:r>
      <w:r w:rsidR="008E2B99" w:rsidRPr="00194D56">
        <w:rPr>
          <w:rFonts w:ascii="Verdana" w:hAnsi="Verdana" w:cs="Arial"/>
          <w:lang w:val="es-ES"/>
        </w:rPr>
        <w:t>a través de una ley de la República</w:t>
      </w:r>
      <w:r w:rsidR="009C6C85" w:rsidRPr="00194D56">
        <w:rPr>
          <w:rFonts w:ascii="Verdana" w:hAnsi="Verdana" w:cs="Arial"/>
          <w:lang w:val="es-ES"/>
        </w:rPr>
        <w:t>.</w:t>
      </w:r>
      <w:r w:rsidR="008E2B99" w:rsidRPr="00194D56">
        <w:rPr>
          <w:rFonts w:ascii="Verdana" w:hAnsi="Verdana" w:cs="Arial"/>
          <w:lang w:val="es-ES"/>
        </w:rPr>
        <w:t xml:space="preserve"> </w:t>
      </w:r>
      <w:r w:rsidR="00686E32" w:rsidRPr="00194D56">
        <w:rPr>
          <w:rFonts w:ascii="Verdana" w:hAnsi="Verdana" w:cs="Arial"/>
          <w:lang w:val="es-ES"/>
        </w:rPr>
        <w:t>T</w:t>
      </w:r>
      <w:r w:rsidR="000C6CAD" w:rsidRPr="00194D56">
        <w:rPr>
          <w:rFonts w:ascii="Verdana" w:hAnsi="Verdana" w:cs="Arial"/>
          <w:lang w:val="es-ES"/>
        </w:rPr>
        <w:t xml:space="preserve">eniendo en cuenta el peso </w:t>
      </w:r>
      <w:r w:rsidR="00686E32" w:rsidRPr="00194D56">
        <w:rPr>
          <w:rFonts w:ascii="Verdana" w:hAnsi="Verdana" w:cs="Arial"/>
          <w:lang w:val="es-ES"/>
        </w:rPr>
        <w:t>de</w:t>
      </w:r>
      <w:r w:rsidR="000C6CAD" w:rsidRPr="00194D56">
        <w:rPr>
          <w:rFonts w:ascii="Verdana" w:hAnsi="Verdana" w:cs="Arial"/>
          <w:lang w:val="es-ES"/>
        </w:rPr>
        <w:t xml:space="preserve"> estos nuevos oferentes de ETM</w:t>
      </w:r>
      <w:r w:rsidR="00686E32" w:rsidRPr="00194D56">
        <w:rPr>
          <w:rFonts w:ascii="Verdana" w:hAnsi="Verdana" w:cs="Arial"/>
          <w:lang w:val="es-ES"/>
        </w:rPr>
        <w:t xml:space="preserve"> en el mercado</w:t>
      </w:r>
      <w:r w:rsidR="000C6CAD" w:rsidRPr="003810DC">
        <w:rPr>
          <w:rFonts w:ascii="Verdana" w:hAnsi="Verdana" w:cs="Arial"/>
          <w:lang w:val="es-ES"/>
        </w:rPr>
        <w:t>,</w:t>
      </w:r>
      <w:r w:rsidR="00236277" w:rsidRPr="003810DC">
        <w:rPr>
          <w:rFonts w:ascii="Verdana" w:hAnsi="Verdana" w:cs="Arial"/>
          <w:lang w:val="es-ES"/>
        </w:rPr>
        <w:t xml:space="preserve"> </w:t>
      </w:r>
      <w:r w:rsidR="00236277" w:rsidRPr="00194D56">
        <w:rPr>
          <w:rFonts w:ascii="Verdana" w:hAnsi="Verdana" w:cs="Arial"/>
          <w:lang w:val="es-ES"/>
        </w:rPr>
        <w:t xml:space="preserve">es conveniente que </w:t>
      </w:r>
      <w:r>
        <w:rPr>
          <w:rFonts w:ascii="Verdana" w:hAnsi="Verdana" w:cs="Arial"/>
          <w:lang w:val="es-ES"/>
        </w:rPr>
        <w:t xml:space="preserve">se </w:t>
      </w:r>
      <w:r w:rsidR="000C6CAD" w:rsidRPr="00194D56">
        <w:rPr>
          <w:rFonts w:ascii="Verdana" w:hAnsi="Verdana" w:cs="Arial"/>
          <w:lang w:val="es-ES"/>
        </w:rPr>
        <w:t>estructure un</w:t>
      </w:r>
      <w:r w:rsidR="00236277" w:rsidRPr="00194D56">
        <w:rPr>
          <w:rFonts w:ascii="Verdana" w:hAnsi="Verdana" w:cs="Arial"/>
          <w:lang w:val="es-ES"/>
        </w:rPr>
        <w:t xml:space="preserve"> sistema de </w:t>
      </w:r>
      <w:r w:rsidR="000C6CAD" w:rsidRPr="00194D56">
        <w:rPr>
          <w:rFonts w:ascii="Verdana" w:hAnsi="Verdana" w:cs="Arial"/>
          <w:lang w:val="es-ES"/>
        </w:rPr>
        <w:t>incentivo</w:t>
      </w:r>
      <w:r w:rsidR="00236277" w:rsidRPr="00194D56">
        <w:rPr>
          <w:rFonts w:ascii="Verdana" w:hAnsi="Verdana" w:cs="Arial"/>
          <w:lang w:val="es-ES"/>
        </w:rPr>
        <w:t>s</w:t>
      </w:r>
      <w:r w:rsidR="000C6CAD" w:rsidRPr="00194D56">
        <w:rPr>
          <w:rFonts w:ascii="Verdana" w:hAnsi="Verdana" w:cs="Arial"/>
          <w:lang w:val="es-ES"/>
        </w:rPr>
        <w:t xml:space="preserve"> para que se estimule la</w:t>
      </w:r>
      <w:r w:rsidR="00236277" w:rsidRPr="00194D56">
        <w:rPr>
          <w:rFonts w:ascii="Verdana" w:hAnsi="Verdana" w:cs="Arial"/>
          <w:lang w:val="es-ES"/>
        </w:rPr>
        <w:t xml:space="preserve"> comercialización y</w:t>
      </w:r>
      <w:r w:rsidR="000C6CAD" w:rsidRPr="00194D56">
        <w:rPr>
          <w:rFonts w:ascii="Verdana" w:hAnsi="Verdana" w:cs="Arial"/>
          <w:lang w:val="es-ES"/>
        </w:rPr>
        <w:t xml:space="preserve"> venta de celulares de gama alta.</w:t>
      </w:r>
    </w:p>
    <w:p w14:paraId="294E28D6" w14:textId="77777777" w:rsidR="0048592A" w:rsidRPr="00194D56" w:rsidRDefault="0048592A" w:rsidP="00686E32">
      <w:pPr>
        <w:pStyle w:val="Prrafodelista"/>
        <w:spacing w:line="276" w:lineRule="auto"/>
        <w:rPr>
          <w:rFonts w:ascii="Arial" w:eastAsia="Times New Roman" w:hAnsi="Arial" w:cs="Arial"/>
          <w:color w:val="333333"/>
          <w:sz w:val="21"/>
          <w:szCs w:val="21"/>
          <w:lang w:val="es-ES" w:eastAsia="es-CO"/>
        </w:rPr>
      </w:pPr>
    </w:p>
    <w:p w14:paraId="3681723C" w14:textId="3FF5F5E8" w:rsidR="00667E6C" w:rsidRPr="00194D56" w:rsidRDefault="00D7318C" w:rsidP="00D7318C">
      <w:pPr>
        <w:pStyle w:val="NormalWeb"/>
        <w:numPr>
          <w:ilvl w:val="0"/>
          <w:numId w:val="2"/>
        </w:numPr>
        <w:shd w:val="clear" w:color="auto" w:fill="FFFFFF"/>
        <w:spacing w:before="0" w:beforeAutospacing="0" w:after="150" w:afterAutospacing="0" w:line="276" w:lineRule="auto"/>
        <w:jc w:val="both"/>
        <w:rPr>
          <w:rFonts w:ascii="Verdana" w:eastAsiaTheme="minorHAnsi" w:hAnsi="Verdana" w:cs="Arial"/>
          <w:sz w:val="22"/>
          <w:szCs w:val="22"/>
          <w:lang w:val="es-ES" w:eastAsia="en-US"/>
        </w:rPr>
      </w:pPr>
      <w:r>
        <w:rPr>
          <w:rFonts w:ascii="Verdana" w:eastAsiaTheme="minorHAnsi" w:hAnsi="Verdana" w:cs="Arial"/>
          <w:sz w:val="22"/>
          <w:szCs w:val="22"/>
          <w:lang w:val="es-ES" w:eastAsia="en-US"/>
        </w:rPr>
        <w:lastRenderedPageBreak/>
        <w:t>Respecto al</w:t>
      </w:r>
      <w:r w:rsidR="00667E6C" w:rsidRPr="00194D56">
        <w:rPr>
          <w:rFonts w:ascii="Verdana" w:eastAsiaTheme="minorHAnsi" w:hAnsi="Verdana" w:cs="Arial"/>
          <w:sz w:val="22"/>
          <w:szCs w:val="22"/>
          <w:lang w:val="es-ES" w:eastAsia="en-US"/>
        </w:rPr>
        <w:t xml:space="preserve"> numeral 3.1.4. </w:t>
      </w:r>
      <w:r w:rsidR="00497EED" w:rsidRPr="00194D56">
        <w:rPr>
          <w:rFonts w:ascii="Verdana" w:eastAsiaTheme="minorHAnsi" w:hAnsi="Verdana" w:cs="Arial"/>
          <w:sz w:val="22"/>
          <w:szCs w:val="22"/>
          <w:lang w:val="es-ES" w:eastAsia="en-US"/>
        </w:rPr>
        <w:t>(Limitada asequibilidad al servicio de internet móvil</w:t>
      </w:r>
      <w:r>
        <w:rPr>
          <w:rFonts w:ascii="Verdana" w:eastAsiaTheme="minorHAnsi" w:hAnsi="Verdana" w:cs="Arial"/>
          <w:sz w:val="22"/>
          <w:szCs w:val="22"/>
          <w:lang w:val="es-ES" w:eastAsia="en-US"/>
        </w:rPr>
        <w:t>)</w:t>
      </w:r>
      <w:r w:rsidR="00ED2896">
        <w:rPr>
          <w:rFonts w:ascii="Verdana" w:eastAsiaTheme="minorHAnsi" w:hAnsi="Verdana" w:cs="Arial"/>
          <w:sz w:val="22"/>
          <w:szCs w:val="22"/>
          <w:lang w:val="es-ES" w:eastAsia="en-US"/>
        </w:rPr>
        <w:t>,</w:t>
      </w:r>
      <w:r>
        <w:rPr>
          <w:rFonts w:ascii="Verdana" w:eastAsiaTheme="minorHAnsi" w:hAnsi="Verdana" w:cs="Arial"/>
          <w:sz w:val="22"/>
          <w:szCs w:val="22"/>
          <w:lang w:val="es-ES" w:eastAsia="en-US"/>
        </w:rPr>
        <w:t xml:space="preserve"> </w:t>
      </w:r>
      <w:r w:rsidR="000111BC" w:rsidRPr="00194D56">
        <w:rPr>
          <w:rFonts w:ascii="Verdana" w:eastAsiaTheme="minorHAnsi" w:hAnsi="Verdana" w:cs="Arial"/>
          <w:sz w:val="22"/>
          <w:szCs w:val="22"/>
          <w:lang w:val="es-ES" w:eastAsia="en-US"/>
        </w:rPr>
        <w:t xml:space="preserve">uno de los aspectos </w:t>
      </w:r>
      <w:r>
        <w:rPr>
          <w:rFonts w:ascii="Verdana" w:eastAsiaTheme="minorHAnsi" w:hAnsi="Verdana" w:cs="Arial"/>
          <w:sz w:val="22"/>
          <w:szCs w:val="22"/>
          <w:lang w:val="es-ES" w:eastAsia="en-US"/>
        </w:rPr>
        <w:t xml:space="preserve">tenidos en consideración </w:t>
      </w:r>
      <w:r w:rsidR="000111BC" w:rsidRPr="00194D56">
        <w:rPr>
          <w:rFonts w:ascii="Verdana" w:eastAsiaTheme="minorHAnsi" w:hAnsi="Verdana" w:cs="Arial"/>
          <w:sz w:val="22"/>
          <w:szCs w:val="22"/>
          <w:lang w:val="es-ES" w:eastAsia="en-US"/>
        </w:rPr>
        <w:t xml:space="preserve">fue </w:t>
      </w:r>
      <w:r>
        <w:rPr>
          <w:rFonts w:ascii="Verdana" w:eastAsiaTheme="minorHAnsi" w:hAnsi="Verdana" w:cs="Arial"/>
          <w:sz w:val="22"/>
          <w:szCs w:val="22"/>
          <w:lang w:val="es-ES" w:eastAsia="en-US"/>
        </w:rPr>
        <w:t>la existencia de</w:t>
      </w:r>
      <w:r w:rsidR="000111BC" w:rsidRPr="00194D56">
        <w:rPr>
          <w:rFonts w:ascii="Verdana" w:eastAsiaTheme="minorHAnsi" w:hAnsi="Verdana" w:cs="Arial"/>
          <w:sz w:val="22"/>
          <w:szCs w:val="22"/>
          <w:lang w:val="es-ES" w:eastAsia="en-US"/>
        </w:rPr>
        <w:t xml:space="preserve"> una correlación </w:t>
      </w:r>
      <w:r w:rsidR="00497EED" w:rsidRPr="00194D56">
        <w:rPr>
          <w:rFonts w:ascii="Verdana" w:eastAsiaTheme="minorHAnsi" w:hAnsi="Verdana" w:cs="Arial"/>
          <w:sz w:val="22"/>
          <w:szCs w:val="22"/>
          <w:lang w:val="es-ES" w:eastAsia="en-US"/>
        </w:rPr>
        <w:t>entre las tarifas y el grado de penetración del servicio</w:t>
      </w:r>
      <w:r>
        <w:rPr>
          <w:rFonts w:ascii="Verdana" w:eastAsiaTheme="minorHAnsi" w:hAnsi="Verdana" w:cs="Arial"/>
          <w:sz w:val="22"/>
          <w:szCs w:val="22"/>
          <w:lang w:val="es-ES" w:eastAsia="en-US"/>
        </w:rPr>
        <w:t xml:space="preserve">; </w:t>
      </w:r>
      <w:r w:rsidR="000111BC" w:rsidRPr="00194D56">
        <w:rPr>
          <w:rFonts w:ascii="Verdana" w:eastAsiaTheme="minorHAnsi" w:hAnsi="Verdana" w:cs="Arial"/>
          <w:sz w:val="22"/>
          <w:szCs w:val="22"/>
          <w:lang w:val="es-ES" w:eastAsia="en-US"/>
        </w:rPr>
        <w:t>hubiese sido oportuno que el análisis presentará</w:t>
      </w:r>
      <w:r>
        <w:rPr>
          <w:rFonts w:ascii="Verdana" w:eastAsiaTheme="minorHAnsi" w:hAnsi="Verdana" w:cs="Arial"/>
          <w:sz w:val="22"/>
          <w:szCs w:val="22"/>
          <w:lang w:val="es-ES" w:eastAsia="en-US"/>
        </w:rPr>
        <w:t xml:space="preserve"> </w:t>
      </w:r>
      <w:r w:rsidR="00497EED" w:rsidRPr="00194D56">
        <w:rPr>
          <w:rFonts w:ascii="Verdana" w:eastAsiaTheme="minorHAnsi" w:hAnsi="Verdana" w:cs="Arial"/>
          <w:sz w:val="22"/>
          <w:szCs w:val="22"/>
          <w:lang w:val="es-ES" w:eastAsia="en-US"/>
        </w:rPr>
        <w:t xml:space="preserve">si </w:t>
      </w:r>
      <w:r w:rsidR="008C2B8C" w:rsidRPr="00194D56">
        <w:rPr>
          <w:rFonts w:ascii="Verdana" w:eastAsiaTheme="minorHAnsi" w:hAnsi="Verdana" w:cs="Arial"/>
          <w:sz w:val="22"/>
          <w:szCs w:val="22"/>
          <w:lang w:val="es-ES" w:eastAsia="en-US"/>
        </w:rPr>
        <w:t>existe</w:t>
      </w:r>
      <w:r w:rsidR="00497EED" w:rsidRPr="00194D56">
        <w:rPr>
          <w:rFonts w:ascii="Verdana" w:eastAsiaTheme="minorHAnsi" w:hAnsi="Verdana" w:cs="Arial"/>
          <w:sz w:val="22"/>
          <w:szCs w:val="22"/>
          <w:lang w:val="es-ES" w:eastAsia="en-US"/>
        </w:rPr>
        <w:t xml:space="preserve"> correlación entre </w:t>
      </w:r>
      <w:r w:rsidR="008C2B8C" w:rsidRPr="00194D56">
        <w:rPr>
          <w:rFonts w:ascii="Verdana" w:eastAsiaTheme="minorHAnsi" w:hAnsi="Verdana" w:cs="Arial"/>
          <w:sz w:val="22"/>
          <w:szCs w:val="22"/>
          <w:lang w:val="es-ES" w:eastAsia="en-US"/>
        </w:rPr>
        <w:t>el porcentaje del ingreso</w:t>
      </w:r>
      <w:r w:rsidR="00984619" w:rsidRPr="00194D56">
        <w:rPr>
          <w:rFonts w:ascii="Verdana" w:eastAsiaTheme="minorHAnsi" w:hAnsi="Verdana" w:cs="Arial"/>
          <w:sz w:val="22"/>
          <w:szCs w:val="22"/>
          <w:lang w:val="es-ES" w:eastAsia="en-US"/>
        </w:rPr>
        <w:t xml:space="preserve"> destinado a comprar </w:t>
      </w:r>
      <w:r w:rsidR="00190C96" w:rsidRPr="00194D56">
        <w:rPr>
          <w:rFonts w:ascii="Verdana" w:eastAsiaTheme="minorHAnsi" w:hAnsi="Verdana" w:cs="Arial"/>
          <w:sz w:val="22"/>
          <w:szCs w:val="22"/>
          <w:lang w:val="es-ES" w:eastAsia="en-US"/>
        </w:rPr>
        <w:t>1</w:t>
      </w:r>
      <w:r w:rsidR="00984619" w:rsidRPr="00194D56">
        <w:rPr>
          <w:rFonts w:ascii="Verdana" w:eastAsiaTheme="minorHAnsi" w:hAnsi="Verdana" w:cs="Arial"/>
          <w:sz w:val="22"/>
          <w:szCs w:val="22"/>
          <w:lang w:val="es-ES" w:eastAsia="en-US"/>
        </w:rPr>
        <w:t xml:space="preserve"> </w:t>
      </w:r>
      <w:r w:rsidR="008C2B8C" w:rsidRPr="00194D56">
        <w:rPr>
          <w:rFonts w:ascii="Verdana" w:eastAsiaTheme="minorHAnsi" w:hAnsi="Verdana" w:cs="Arial"/>
          <w:sz w:val="22"/>
          <w:szCs w:val="22"/>
          <w:lang w:val="es-ES" w:eastAsia="en-US"/>
        </w:rPr>
        <w:t xml:space="preserve">GB y la penetración del servicio de Internet móvil en diferentes </w:t>
      </w:r>
      <w:r w:rsidR="008C2B8C" w:rsidRPr="00A8288C">
        <w:rPr>
          <w:rFonts w:ascii="Verdana" w:eastAsiaTheme="minorHAnsi" w:hAnsi="Verdana" w:cs="Arial"/>
          <w:sz w:val="22"/>
          <w:szCs w:val="22"/>
          <w:lang w:val="es-ES" w:eastAsia="en-US"/>
        </w:rPr>
        <w:t>países</w:t>
      </w:r>
      <w:r>
        <w:rPr>
          <w:rFonts w:ascii="Verdana" w:eastAsiaTheme="minorHAnsi" w:hAnsi="Verdana" w:cs="Arial"/>
          <w:sz w:val="22"/>
          <w:szCs w:val="22"/>
          <w:lang w:val="es-ES" w:eastAsia="en-US"/>
        </w:rPr>
        <w:t xml:space="preserve"> pues</w:t>
      </w:r>
      <w:r w:rsidR="00DF70A7">
        <w:rPr>
          <w:rFonts w:ascii="Verdana" w:eastAsiaTheme="minorHAnsi" w:hAnsi="Verdana" w:cs="Arial"/>
          <w:sz w:val="22"/>
          <w:szCs w:val="22"/>
          <w:lang w:val="es-ES" w:eastAsia="en-US"/>
        </w:rPr>
        <w:t>,</w:t>
      </w:r>
      <w:r>
        <w:rPr>
          <w:rFonts w:ascii="Verdana" w:eastAsiaTheme="minorHAnsi" w:hAnsi="Verdana" w:cs="Arial"/>
          <w:sz w:val="22"/>
          <w:szCs w:val="22"/>
          <w:lang w:val="es-ES" w:eastAsia="en-US"/>
        </w:rPr>
        <w:t xml:space="preserve"> con ello</w:t>
      </w:r>
      <w:r w:rsidR="00DF70A7">
        <w:rPr>
          <w:rFonts w:ascii="Verdana" w:eastAsiaTheme="minorHAnsi" w:hAnsi="Verdana" w:cs="Arial"/>
          <w:sz w:val="22"/>
          <w:szCs w:val="22"/>
          <w:lang w:val="es-ES" w:eastAsia="en-US"/>
        </w:rPr>
        <w:t>,</w:t>
      </w:r>
      <w:r>
        <w:rPr>
          <w:rFonts w:ascii="Verdana" w:eastAsiaTheme="minorHAnsi" w:hAnsi="Verdana" w:cs="Arial"/>
          <w:sz w:val="22"/>
          <w:szCs w:val="22"/>
          <w:lang w:val="es-ES" w:eastAsia="en-US"/>
        </w:rPr>
        <w:t xml:space="preserve"> </w:t>
      </w:r>
      <w:r w:rsidR="00F83B35" w:rsidRPr="00194D56">
        <w:rPr>
          <w:rFonts w:ascii="Verdana" w:eastAsiaTheme="minorHAnsi" w:hAnsi="Verdana" w:cs="Arial"/>
          <w:sz w:val="22"/>
          <w:szCs w:val="22"/>
          <w:lang w:val="es-ES" w:eastAsia="en-US"/>
        </w:rPr>
        <w:t xml:space="preserve">se habría </w:t>
      </w:r>
      <w:r>
        <w:rPr>
          <w:rFonts w:ascii="Verdana" w:eastAsiaTheme="minorHAnsi" w:hAnsi="Verdana" w:cs="Arial"/>
          <w:sz w:val="22"/>
          <w:szCs w:val="22"/>
          <w:lang w:val="es-ES" w:eastAsia="en-US"/>
        </w:rPr>
        <w:t xml:space="preserve">podido </w:t>
      </w:r>
      <w:r w:rsidR="00F83B35" w:rsidRPr="00194D56">
        <w:rPr>
          <w:rFonts w:ascii="Verdana" w:eastAsiaTheme="minorHAnsi" w:hAnsi="Verdana" w:cs="Arial"/>
          <w:sz w:val="22"/>
          <w:szCs w:val="22"/>
          <w:lang w:val="es-ES" w:eastAsia="en-US"/>
        </w:rPr>
        <w:t>evidencia</w:t>
      </w:r>
      <w:r>
        <w:rPr>
          <w:rFonts w:ascii="Verdana" w:eastAsiaTheme="minorHAnsi" w:hAnsi="Verdana" w:cs="Arial"/>
          <w:sz w:val="22"/>
          <w:szCs w:val="22"/>
          <w:lang w:val="es-ES" w:eastAsia="en-US"/>
        </w:rPr>
        <w:t>r</w:t>
      </w:r>
      <w:r w:rsidR="00F83B35" w:rsidRPr="00194D56">
        <w:rPr>
          <w:rFonts w:ascii="Verdana" w:eastAsiaTheme="minorHAnsi" w:hAnsi="Verdana" w:cs="Arial"/>
          <w:sz w:val="22"/>
          <w:szCs w:val="22"/>
          <w:lang w:val="es-ES" w:eastAsia="en-US"/>
        </w:rPr>
        <w:t xml:space="preserve"> la fuerte incidencia del entorno macroeconómico (particularmente, la pérdida del poder adquisitivo del peso colombiano), en la caída del consumo de equipos terminales móviles.</w:t>
      </w:r>
    </w:p>
    <w:p w14:paraId="1F082F22" w14:textId="3422364B" w:rsidR="00FB5145" w:rsidRPr="00194D56" w:rsidRDefault="000111BC" w:rsidP="00686E32">
      <w:pPr>
        <w:pStyle w:val="NormalWeb"/>
        <w:numPr>
          <w:ilvl w:val="0"/>
          <w:numId w:val="2"/>
        </w:numPr>
        <w:shd w:val="clear" w:color="auto" w:fill="FFFFFF"/>
        <w:spacing w:before="0" w:beforeAutospacing="0" w:after="150" w:afterAutospacing="0" w:line="276" w:lineRule="auto"/>
        <w:jc w:val="both"/>
        <w:rPr>
          <w:rFonts w:ascii="Verdana" w:eastAsiaTheme="minorHAnsi" w:hAnsi="Verdana" w:cs="Arial"/>
          <w:sz w:val="22"/>
          <w:szCs w:val="22"/>
          <w:lang w:val="es-ES" w:eastAsia="en-US"/>
        </w:rPr>
      </w:pPr>
      <w:r w:rsidRPr="00194D56">
        <w:rPr>
          <w:rFonts w:ascii="Verdana" w:eastAsiaTheme="minorHAnsi" w:hAnsi="Verdana" w:cs="Arial"/>
          <w:sz w:val="22"/>
          <w:szCs w:val="22"/>
          <w:lang w:val="es-ES" w:eastAsia="en-US"/>
        </w:rPr>
        <w:t>Sería conveni</w:t>
      </w:r>
      <w:r w:rsidR="00776DAA" w:rsidRPr="00194D56">
        <w:rPr>
          <w:rFonts w:ascii="Verdana" w:eastAsiaTheme="minorHAnsi" w:hAnsi="Verdana" w:cs="Arial"/>
          <w:sz w:val="22"/>
          <w:szCs w:val="22"/>
          <w:lang w:val="es-ES" w:eastAsia="en-US"/>
        </w:rPr>
        <w:t xml:space="preserve">ente </w:t>
      </w:r>
      <w:r w:rsidR="00DF70A7">
        <w:rPr>
          <w:rFonts w:ascii="Verdana" w:eastAsiaTheme="minorHAnsi" w:hAnsi="Verdana" w:cs="Arial"/>
          <w:sz w:val="22"/>
          <w:szCs w:val="22"/>
          <w:lang w:val="es-ES" w:eastAsia="en-US"/>
        </w:rPr>
        <w:t>contrastar</w:t>
      </w:r>
      <w:r w:rsidR="00776DAA" w:rsidRPr="00ED2896">
        <w:rPr>
          <w:rFonts w:ascii="Verdana" w:eastAsiaTheme="minorHAnsi" w:hAnsi="Verdana" w:cs="Arial"/>
          <w:sz w:val="22"/>
          <w:szCs w:val="22"/>
          <w:lang w:val="es-ES" w:eastAsia="en-US"/>
        </w:rPr>
        <w:t xml:space="preserve"> </w:t>
      </w:r>
      <w:r w:rsidR="00776DAA" w:rsidRPr="00194D56">
        <w:rPr>
          <w:rFonts w:ascii="Verdana" w:eastAsiaTheme="minorHAnsi" w:hAnsi="Verdana" w:cs="Arial"/>
          <w:sz w:val="22"/>
          <w:szCs w:val="22"/>
          <w:lang w:val="es-ES" w:eastAsia="en-US"/>
        </w:rPr>
        <w:t xml:space="preserve">la </w:t>
      </w:r>
      <w:r w:rsidR="00F60321" w:rsidRPr="00194D56">
        <w:rPr>
          <w:rFonts w:ascii="Verdana" w:eastAsiaTheme="minorHAnsi" w:hAnsi="Verdana" w:cs="Arial"/>
          <w:sz w:val="22"/>
          <w:szCs w:val="22"/>
          <w:lang w:val="es-ES" w:eastAsia="en-US"/>
        </w:rPr>
        <w:t xml:space="preserve">conclusión </w:t>
      </w:r>
      <w:r w:rsidR="00686E32" w:rsidRPr="00194D56">
        <w:rPr>
          <w:rFonts w:ascii="Verdana" w:eastAsiaTheme="minorHAnsi" w:hAnsi="Verdana" w:cs="Arial"/>
          <w:sz w:val="22"/>
          <w:szCs w:val="22"/>
          <w:lang w:val="es-ES" w:eastAsia="en-US"/>
        </w:rPr>
        <w:t xml:space="preserve">del numeral 3.2.3 (Menores consumos de servicios de telecomunicaciones móviles, página 40), </w:t>
      </w:r>
      <w:r w:rsidR="00F60321" w:rsidRPr="00ED2896">
        <w:rPr>
          <w:rFonts w:ascii="Verdana" w:eastAsiaTheme="minorHAnsi" w:hAnsi="Verdana" w:cs="Arial"/>
          <w:sz w:val="22"/>
          <w:szCs w:val="22"/>
          <w:lang w:val="es-ES" w:eastAsia="en-US"/>
        </w:rPr>
        <w:t>presenta</w:t>
      </w:r>
      <w:r w:rsidR="00DF70A7">
        <w:rPr>
          <w:rFonts w:ascii="Verdana" w:eastAsiaTheme="minorHAnsi" w:hAnsi="Verdana" w:cs="Arial"/>
          <w:sz w:val="22"/>
          <w:szCs w:val="22"/>
          <w:lang w:val="es-ES" w:eastAsia="en-US"/>
        </w:rPr>
        <w:t>da</w:t>
      </w:r>
      <w:r w:rsidR="00F60321" w:rsidRPr="00194D56">
        <w:rPr>
          <w:rFonts w:ascii="Verdana" w:eastAsiaTheme="minorHAnsi" w:hAnsi="Verdana" w:cs="Arial"/>
          <w:sz w:val="22"/>
          <w:szCs w:val="22"/>
          <w:lang w:val="es-ES" w:eastAsia="en-US"/>
        </w:rPr>
        <w:t xml:space="preserve"> a continuación en negrilla</w:t>
      </w:r>
      <w:r w:rsidR="00776DAA" w:rsidRPr="00ED2896">
        <w:rPr>
          <w:rFonts w:ascii="Verdana" w:eastAsiaTheme="minorHAnsi" w:hAnsi="Verdana" w:cs="Arial"/>
          <w:sz w:val="22"/>
          <w:szCs w:val="22"/>
          <w:lang w:val="es-ES" w:eastAsia="en-US"/>
        </w:rPr>
        <w:t xml:space="preserve">, con </w:t>
      </w:r>
      <w:r w:rsidR="002760C6" w:rsidRPr="00ED2896">
        <w:rPr>
          <w:rFonts w:ascii="Verdana" w:eastAsiaTheme="minorHAnsi" w:hAnsi="Verdana" w:cs="Arial"/>
          <w:sz w:val="22"/>
          <w:szCs w:val="22"/>
          <w:lang w:val="es-ES" w:eastAsia="en-US"/>
        </w:rPr>
        <w:t xml:space="preserve">los datos </w:t>
      </w:r>
      <w:r w:rsidR="00DF70A7">
        <w:rPr>
          <w:rFonts w:ascii="Verdana" w:eastAsiaTheme="minorHAnsi" w:hAnsi="Verdana" w:cs="Arial"/>
          <w:sz w:val="22"/>
          <w:szCs w:val="22"/>
          <w:lang w:val="es-ES" w:eastAsia="en-US"/>
        </w:rPr>
        <w:t>expuestos</w:t>
      </w:r>
      <w:r w:rsidR="002760C6" w:rsidRPr="00ED2896">
        <w:rPr>
          <w:rFonts w:ascii="Verdana" w:eastAsiaTheme="minorHAnsi" w:hAnsi="Verdana" w:cs="Arial"/>
          <w:sz w:val="22"/>
          <w:szCs w:val="22"/>
          <w:lang w:val="es-ES" w:eastAsia="en-US"/>
        </w:rPr>
        <w:t xml:space="preserve"> </w:t>
      </w:r>
      <w:r w:rsidR="002760C6" w:rsidRPr="00194D56">
        <w:rPr>
          <w:rFonts w:ascii="Verdana" w:eastAsiaTheme="minorHAnsi" w:hAnsi="Verdana" w:cs="Arial"/>
          <w:sz w:val="22"/>
          <w:szCs w:val="22"/>
          <w:lang w:val="es-ES" w:eastAsia="en-US"/>
        </w:rPr>
        <w:t>en la Gráfica 29</w:t>
      </w:r>
      <w:r w:rsidR="000353BB" w:rsidRPr="00194D56">
        <w:rPr>
          <w:rFonts w:ascii="Verdana" w:eastAsiaTheme="minorHAnsi" w:hAnsi="Verdana" w:cs="Arial"/>
          <w:sz w:val="22"/>
          <w:szCs w:val="22"/>
          <w:lang w:val="es-ES" w:eastAsia="en-US"/>
        </w:rPr>
        <w:t>,</w:t>
      </w:r>
      <w:r w:rsidR="00A96162" w:rsidRPr="00194D56">
        <w:rPr>
          <w:rFonts w:ascii="Verdana" w:eastAsiaTheme="minorHAnsi" w:hAnsi="Verdana" w:cs="Arial"/>
          <w:sz w:val="22"/>
          <w:szCs w:val="22"/>
          <w:lang w:val="es-ES" w:eastAsia="en-US"/>
        </w:rPr>
        <w:t xml:space="preserve"> </w:t>
      </w:r>
      <w:r w:rsidR="00ED2896">
        <w:rPr>
          <w:rFonts w:ascii="Verdana" w:eastAsiaTheme="minorHAnsi" w:hAnsi="Verdana" w:cs="Arial"/>
          <w:sz w:val="22"/>
          <w:szCs w:val="22"/>
          <w:lang w:val="es-ES" w:eastAsia="en-US"/>
        </w:rPr>
        <w:t>en la cual se señala que</w:t>
      </w:r>
      <w:r w:rsidR="002760C6" w:rsidRPr="00194D56">
        <w:rPr>
          <w:rFonts w:ascii="Verdana" w:eastAsiaTheme="minorHAnsi" w:hAnsi="Verdana" w:cs="Arial"/>
          <w:sz w:val="22"/>
          <w:szCs w:val="22"/>
          <w:lang w:val="es-ES" w:eastAsia="en-US"/>
        </w:rPr>
        <w:t xml:space="preserve"> el consumo de Internet móvil por usuario de 2014 a 2017 se ha duplicad</w:t>
      </w:r>
      <w:r w:rsidR="00F60321" w:rsidRPr="00194D56">
        <w:rPr>
          <w:rFonts w:ascii="Verdana" w:eastAsiaTheme="minorHAnsi" w:hAnsi="Verdana" w:cs="Arial"/>
          <w:sz w:val="22"/>
          <w:szCs w:val="22"/>
          <w:lang w:val="es-ES" w:eastAsia="en-US"/>
        </w:rPr>
        <w:t>o, pasando de 0,51 GB a 1,08 GB:</w:t>
      </w:r>
    </w:p>
    <w:p w14:paraId="1804DBD5" w14:textId="77777777" w:rsidR="00FB5145" w:rsidRPr="00194D56" w:rsidRDefault="00FB5145" w:rsidP="00A74261">
      <w:pPr>
        <w:pStyle w:val="NormalWeb"/>
        <w:shd w:val="clear" w:color="auto" w:fill="FFFFFF"/>
        <w:spacing w:before="0" w:beforeAutospacing="0" w:after="150" w:afterAutospacing="0" w:line="276" w:lineRule="auto"/>
        <w:ind w:left="1416"/>
        <w:jc w:val="both"/>
        <w:rPr>
          <w:rFonts w:ascii="Verdana" w:eastAsiaTheme="minorHAnsi" w:hAnsi="Verdana" w:cs="Arial"/>
          <w:sz w:val="22"/>
          <w:szCs w:val="22"/>
          <w:lang w:val="es-ES" w:eastAsia="en-US"/>
        </w:rPr>
      </w:pPr>
      <w:r w:rsidRPr="00194D56">
        <w:rPr>
          <w:rFonts w:ascii="Verdana" w:eastAsiaTheme="minorHAnsi" w:hAnsi="Verdana" w:cs="Arial"/>
          <w:i/>
          <w:sz w:val="20"/>
          <w:szCs w:val="22"/>
          <w:lang w:val="es-ES" w:eastAsia="en-US"/>
        </w:rPr>
        <w:t xml:space="preserve">La CRC encontró que, si bien </w:t>
      </w:r>
      <w:r w:rsidRPr="00194D56">
        <w:rPr>
          <w:rFonts w:ascii="Verdana" w:eastAsiaTheme="minorHAnsi" w:hAnsi="Verdana" w:cs="Arial"/>
          <w:b/>
          <w:i/>
          <w:sz w:val="20"/>
          <w:szCs w:val="22"/>
          <w:lang w:val="es-ES" w:eastAsia="en-US"/>
        </w:rPr>
        <w:t>desde 2014</w:t>
      </w:r>
      <w:r w:rsidRPr="00194D56">
        <w:rPr>
          <w:rFonts w:ascii="Verdana" w:eastAsiaTheme="minorHAnsi" w:hAnsi="Verdana" w:cs="Arial"/>
          <w:i/>
          <w:sz w:val="20"/>
          <w:szCs w:val="22"/>
          <w:lang w:val="es-ES" w:eastAsia="en-US"/>
        </w:rPr>
        <w:t xml:space="preserve"> hay una tendencia creciente en el consumo mensual de Internet móvil por usuario, en el gráfico se observa que, pese a la disponibilidad de nuevas tecnologías, </w:t>
      </w:r>
      <w:r w:rsidRPr="00194D56">
        <w:rPr>
          <w:rFonts w:ascii="Verdana" w:eastAsiaTheme="minorHAnsi" w:hAnsi="Verdana" w:cs="Arial"/>
          <w:b/>
          <w:i/>
          <w:sz w:val="20"/>
          <w:szCs w:val="22"/>
          <w:lang w:val="es-ES" w:eastAsia="en-US"/>
        </w:rPr>
        <w:t>la magnitud del crecimiento en el consumo no ha cambiado de forma explosiva</w:t>
      </w:r>
      <w:r w:rsidRPr="00194D56">
        <w:rPr>
          <w:rFonts w:ascii="Verdana" w:eastAsiaTheme="minorHAnsi" w:hAnsi="Verdana" w:cs="Arial"/>
          <w:sz w:val="22"/>
          <w:szCs w:val="22"/>
          <w:lang w:val="es-ES" w:eastAsia="en-US"/>
        </w:rPr>
        <w:t>.</w:t>
      </w:r>
    </w:p>
    <w:p w14:paraId="0D7241DD" w14:textId="1A3C18D9" w:rsidR="00783514" w:rsidRPr="00194D56" w:rsidRDefault="00783514" w:rsidP="00686E32">
      <w:pPr>
        <w:pStyle w:val="Prrafodelista"/>
        <w:numPr>
          <w:ilvl w:val="0"/>
          <w:numId w:val="2"/>
        </w:numPr>
        <w:spacing w:line="276" w:lineRule="auto"/>
        <w:jc w:val="both"/>
        <w:rPr>
          <w:rFonts w:ascii="Verdana" w:hAnsi="Verdana" w:cs="Arial"/>
          <w:lang w:val="es-ES"/>
        </w:rPr>
      </w:pPr>
      <w:r w:rsidRPr="00194D56">
        <w:rPr>
          <w:rFonts w:ascii="Verdana" w:hAnsi="Verdana" w:cs="Arial"/>
          <w:lang w:val="es-ES"/>
        </w:rPr>
        <w:t xml:space="preserve">De otro lado, </w:t>
      </w:r>
      <w:r w:rsidR="000A5884" w:rsidRPr="00194D56">
        <w:rPr>
          <w:rFonts w:ascii="Verdana" w:hAnsi="Verdana" w:cs="Arial"/>
          <w:lang w:val="es-ES"/>
        </w:rPr>
        <w:t xml:space="preserve">en el numeral 4.5. (Alcance de la intervención regulatoria), </w:t>
      </w:r>
      <w:r w:rsidR="000911FA" w:rsidRPr="00194D56">
        <w:rPr>
          <w:rFonts w:ascii="Verdana" w:hAnsi="Verdana" w:cs="Arial"/>
          <w:lang w:val="es-ES"/>
        </w:rPr>
        <w:t xml:space="preserve">uno </w:t>
      </w:r>
      <w:r w:rsidR="00DF70A7">
        <w:rPr>
          <w:rFonts w:ascii="Verdana" w:hAnsi="Verdana" w:cs="Arial"/>
          <w:lang w:val="es-ES"/>
        </w:rPr>
        <w:t xml:space="preserve">de </w:t>
      </w:r>
      <w:r w:rsidR="000A5884" w:rsidRPr="00194D56">
        <w:rPr>
          <w:rFonts w:ascii="Verdana" w:hAnsi="Verdana" w:cs="Arial"/>
          <w:lang w:val="es-ES"/>
        </w:rPr>
        <w:t>los objetivos específicos del proyecto regulatorio</w:t>
      </w:r>
      <w:r w:rsidR="000911FA" w:rsidRPr="00194D56">
        <w:rPr>
          <w:rFonts w:ascii="Verdana" w:hAnsi="Verdana" w:cs="Arial"/>
          <w:lang w:val="es-ES"/>
        </w:rPr>
        <w:t xml:space="preserve"> (página 42)</w:t>
      </w:r>
      <w:r w:rsidR="000A5884" w:rsidRPr="00194D56">
        <w:rPr>
          <w:rFonts w:ascii="Verdana" w:hAnsi="Verdana" w:cs="Arial"/>
          <w:lang w:val="es-ES"/>
        </w:rPr>
        <w:t xml:space="preserve">, </w:t>
      </w:r>
      <w:r w:rsidR="000911FA" w:rsidRPr="00194D56">
        <w:rPr>
          <w:rFonts w:ascii="Verdana" w:hAnsi="Verdana" w:cs="Arial"/>
          <w:lang w:val="es-ES"/>
        </w:rPr>
        <w:t xml:space="preserve">es </w:t>
      </w:r>
      <w:r w:rsidR="00776DAA" w:rsidRPr="00194D56">
        <w:rPr>
          <w:rFonts w:ascii="Verdana" w:hAnsi="Verdana" w:cs="Arial"/>
          <w:lang w:val="es-ES"/>
        </w:rPr>
        <w:t xml:space="preserve">el de </w:t>
      </w:r>
      <w:r w:rsidR="000911FA" w:rsidRPr="00194D56">
        <w:rPr>
          <w:rFonts w:ascii="Verdana" w:hAnsi="Verdana" w:cs="Arial"/>
          <w:lang w:val="es-ES"/>
        </w:rPr>
        <w:t>“</w:t>
      </w:r>
      <w:r w:rsidR="000911FA" w:rsidRPr="00194D56">
        <w:rPr>
          <w:rFonts w:ascii="Verdana" w:hAnsi="Verdana" w:cs="Arial"/>
          <w:i/>
          <w:lang w:val="es-ES"/>
        </w:rPr>
        <w:t>[p]</w:t>
      </w:r>
      <w:proofErr w:type="spellStart"/>
      <w:r w:rsidR="000911FA" w:rsidRPr="00194D56">
        <w:rPr>
          <w:rFonts w:ascii="Verdana" w:hAnsi="Verdana" w:cs="Arial"/>
          <w:i/>
          <w:lang w:val="es-ES"/>
        </w:rPr>
        <w:t>romover</w:t>
      </w:r>
      <w:proofErr w:type="spellEnd"/>
      <w:r w:rsidR="000911FA" w:rsidRPr="00194D56">
        <w:rPr>
          <w:rFonts w:ascii="Verdana" w:hAnsi="Verdana" w:cs="Arial"/>
          <w:i/>
          <w:lang w:val="es-ES"/>
        </w:rPr>
        <w:t xml:space="preserve"> condiciones competitivas en la comercialización de equipos terminales móviles</w:t>
      </w:r>
      <w:r w:rsidR="000911FA" w:rsidRPr="00194D56">
        <w:rPr>
          <w:rFonts w:ascii="Verdana" w:hAnsi="Verdana" w:cs="Arial"/>
          <w:lang w:val="es-ES"/>
        </w:rPr>
        <w:t>”, sin embargo</w:t>
      </w:r>
      <w:r w:rsidR="00776DAA" w:rsidRPr="00194D56">
        <w:rPr>
          <w:rFonts w:ascii="Verdana" w:hAnsi="Verdana" w:cs="Arial"/>
          <w:lang w:val="es-ES"/>
        </w:rPr>
        <w:t>,</w:t>
      </w:r>
      <w:r w:rsidR="000911FA" w:rsidRPr="00194D56">
        <w:rPr>
          <w:rFonts w:ascii="Verdana" w:hAnsi="Verdana" w:cs="Arial"/>
          <w:lang w:val="es-ES"/>
        </w:rPr>
        <w:t xml:space="preserve"> a pesar de las posibilidades de empaquetamiento que tienen algunos de los comercializadores alternativos</w:t>
      </w:r>
      <w:r w:rsidR="00DF70A7">
        <w:rPr>
          <w:rFonts w:ascii="Verdana" w:hAnsi="Verdana" w:cs="Arial"/>
          <w:lang w:val="es-ES"/>
        </w:rPr>
        <w:t>,</w:t>
      </w:r>
      <w:r w:rsidR="000353BB" w:rsidRPr="00194D56">
        <w:rPr>
          <w:rFonts w:ascii="Verdana" w:hAnsi="Verdana" w:cs="Arial"/>
          <w:lang w:val="es-ES"/>
        </w:rPr>
        <w:t xml:space="preserve"> según</w:t>
      </w:r>
      <w:r w:rsidR="000911FA" w:rsidRPr="00194D56">
        <w:rPr>
          <w:rFonts w:ascii="Verdana" w:hAnsi="Verdana" w:cs="Arial"/>
          <w:lang w:val="es-ES"/>
        </w:rPr>
        <w:t xml:space="preserve"> se </w:t>
      </w:r>
      <w:r w:rsidR="00776DAA" w:rsidRPr="00194D56">
        <w:rPr>
          <w:rFonts w:ascii="Verdana" w:hAnsi="Verdana" w:cs="Arial"/>
          <w:lang w:val="es-ES"/>
        </w:rPr>
        <w:t xml:space="preserve">indica en el </w:t>
      </w:r>
      <w:r w:rsidR="000911FA" w:rsidRPr="00194D56">
        <w:rPr>
          <w:rFonts w:ascii="Verdana" w:hAnsi="Verdana" w:cs="Arial"/>
          <w:lang w:val="es-ES"/>
        </w:rPr>
        <w:t>documento, las cifras de GFK presentadas en la Gráfica 35</w:t>
      </w:r>
      <w:r w:rsidR="000353BB" w:rsidRPr="00194D56">
        <w:rPr>
          <w:rFonts w:ascii="Verdana" w:hAnsi="Verdana" w:cs="Arial"/>
          <w:lang w:val="es-ES"/>
        </w:rPr>
        <w:t xml:space="preserve"> indican que</w:t>
      </w:r>
      <w:r w:rsidR="000911FA" w:rsidRPr="00194D56">
        <w:rPr>
          <w:rFonts w:ascii="Verdana" w:hAnsi="Verdana" w:cs="Arial"/>
          <w:lang w:val="es-ES"/>
        </w:rPr>
        <w:t xml:space="preserve"> </w:t>
      </w:r>
      <w:r w:rsidRPr="00194D56">
        <w:rPr>
          <w:rFonts w:ascii="Verdana" w:hAnsi="Verdana" w:cs="Arial"/>
          <w:lang w:val="es-ES"/>
        </w:rPr>
        <w:t>la oferta se ha desconcentrado y ahora</w:t>
      </w:r>
      <w:r w:rsidR="000911FA" w:rsidRPr="00194D56">
        <w:rPr>
          <w:rFonts w:ascii="Verdana" w:hAnsi="Verdana" w:cs="Arial"/>
          <w:lang w:val="es-ES"/>
        </w:rPr>
        <w:t xml:space="preserve"> existe pluralidad de oferentes</w:t>
      </w:r>
      <w:r w:rsidR="00DF70A7">
        <w:rPr>
          <w:rFonts w:ascii="Verdana" w:hAnsi="Verdana" w:cs="Arial"/>
          <w:lang w:val="es-ES"/>
        </w:rPr>
        <w:t>, l</w:t>
      </w:r>
      <w:r w:rsidR="00776DAA" w:rsidRPr="00C52A04">
        <w:rPr>
          <w:rFonts w:ascii="Verdana" w:hAnsi="Verdana" w:cs="Arial"/>
          <w:lang w:val="es-ES"/>
        </w:rPr>
        <w:t xml:space="preserve">o </w:t>
      </w:r>
      <w:r w:rsidR="00776DAA" w:rsidRPr="00194D56">
        <w:rPr>
          <w:rFonts w:ascii="Verdana" w:hAnsi="Verdana" w:cs="Arial"/>
          <w:lang w:val="es-ES"/>
        </w:rPr>
        <w:t>cual permite evidenciar que l</w:t>
      </w:r>
      <w:r w:rsidRPr="00194D56">
        <w:rPr>
          <w:rFonts w:ascii="Verdana" w:hAnsi="Verdana" w:cs="Arial"/>
          <w:lang w:val="es-ES"/>
        </w:rPr>
        <w:t>a participación en el mercado de comercialización de ETM de l</w:t>
      </w:r>
      <w:r w:rsidR="000911FA" w:rsidRPr="00194D56">
        <w:rPr>
          <w:rFonts w:ascii="Verdana" w:hAnsi="Verdana" w:cs="Arial"/>
          <w:lang w:val="es-ES"/>
        </w:rPr>
        <w:t xml:space="preserve">os </w:t>
      </w:r>
      <w:r w:rsidR="000353BB" w:rsidRPr="00194D56">
        <w:rPr>
          <w:rFonts w:ascii="Verdana" w:hAnsi="Verdana" w:cs="Arial"/>
          <w:lang w:val="es-ES"/>
        </w:rPr>
        <w:t>PRST pasó del 83,6% al 52,6%</w:t>
      </w:r>
      <w:r w:rsidR="004F2259">
        <w:rPr>
          <w:rFonts w:ascii="Verdana" w:hAnsi="Verdana" w:cs="Arial"/>
          <w:lang w:val="es-ES"/>
        </w:rPr>
        <w:t>. Basado en lo anterior</w:t>
      </w:r>
      <w:r w:rsidR="000911FA" w:rsidRPr="00C52A04">
        <w:rPr>
          <w:rFonts w:ascii="Verdana" w:hAnsi="Verdana" w:cs="Arial"/>
          <w:lang w:val="es-ES"/>
        </w:rPr>
        <w:t xml:space="preserve">, </w:t>
      </w:r>
      <w:r w:rsidR="004F2259">
        <w:rPr>
          <w:rFonts w:ascii="Verdana" w:hAnsi="Verdana" w:cs="Arial"/>
          <w:lang w:val="es-ES"/>
        </w:rPr>
        <w:t xml:space="preserve">sería prudente revisar si dicho </w:t>
      </w:r>
      <w:r w:rsidR="000911FA" w:rsidRPr="00C52A04">
        <w:rPr>
          <w:rFonts w:ascii="Verdana" w:hAnsi="Verdana" w:cs="Arial"/>
          <w:lang w:val="es-ES"/>
        </w:rPr>
        <w:t>objetivo</w:t>
      </w:r>
      <w:r w:rsidR="000353BB" w:rsidRPr="00C52A04">
        <w:rPr>
          <w:rFonts w:ascii="Verdana" w:hAnsi="Verdana" w:cs="Arial"/>
          <w:lang w:val="es-ES"/>
        </w:rPr>
        <w:t xml:space="preserve"> específico</w:t>
      </w:r>
      <w:r w:rsidR="000911FA" w:rsidRPr="00C52A04">
        <w:rPr>
          <w:rFonts w:ascii="Verdana" w:hAnsi="Verdana" w:cs="Arial"/>
          <w:lang w:val="es-ES"/>
        </w:rPr>
        <w:t xml:space="preserve"> </w:t>
      </w:r>
      <w:r w:rsidR="000353BB" w:rsidRPr="00C52A04">
        <w:rPr>
          <w:rFonts w:ascii="Verdana" w:hAnsi="Verdana" w:cs="Arial"/>
          <w:lang w:val="es-ES"/>
        </w:rPr>
        <w:t>t</w:t>
      </w:r>
      <w:r w:rsidR="004F2259">
        <w:rPr>
          <w:rFonts w:ascii="Verdana" w:hAnsi="Verdana" w:cs="Arial"/>
          <w:lang w:val="es-ES"/>
        </w:rPr>
        <w:t>iene</w:t>
      </w:r>
      <w:r w:rsidR="000353BB" w:rsidRPr="00C52A04">
        <w:rPr>
          <w:rFonts w:ascii="Verdana" w:hAnsi="Verdana" w:cs="Arial"/>
          <w:lang w:val="es-ES"/>
        </w:rPr>
        <w:t xml:space="preserve"> </w:t>
      </w:r>
      <w:r w:rsidR="000353BB" w:rsidRPr="00194D56">
        <w:rPr>
          <w:rFonts w:ascii="Verdana" w:hAnsi="Verdana" w:cs="Arial"/>
          <w:lang w:val="es-ES"/>
        </w:rPr>
        <w:t>sustento</w:t>
      </w:r>
      <w:r w:rsidR="000911FA" w:rsidRPr="00194D56">
        <w:rPr>
          <w:rFonts w:ascii="Verdana" w:hAnsi="Verdana" w:cs="Arial"/>
          <w:lang w:val="es-ES"/>
        </w:rPr>
        <w:t xml:space="preserve"> </w:t>
      </w:r>
      <w:r w:rsidR="000353BB" w:rsidRPr="00194D56">
        <w:rPr>
          <w:rFonts w:ascii="Verdana" w:hAnsi="Verdana" w:cs="Arial"/>
          <w:lang w:val="es-ES"/>
        </w:rPr>
        <w:t>e</w:t>
      </w:r>
      <w:r w:rsidR="000911FA" w:rsidRPr="00194D56">
        <w:rPr>
          <w:rFonts w:ascii="Verdana" w:hAnsi="Verdana" w:cs="Arial"/>
          <w:lang w:val="es-ES"/>
        </w:rPr>
        <w:t>n las cifras presentadas.</w:t>
      </w:r>
    </w:p>
    <w:p w14:paraId="735579B3" w14:textId="75871156" w:rsidR="000911FA" w:rsidRPr="00194D56" w:rsidRDefault="000911FA" w:rsidP="00686E32">
      <w:pPr>
        <w:spacing w:line="276" w:lineRule="auto"/>
        <w:ind w:left="360"/>
        <w:jc w:val="both"/>
        <w:rPr>
          <w:rFonts w:ascii="Verdana" w:hAnsi="Verdana" w:cs="Arial"/>
          <w:lang w:val="es-ES"/>
        </w:rPr>
      </w:pPr>
      <w:r w:rsidRPr="00194D56">
        <w:rPr>
          <w:rFonts w:ascii="Verdana" w:hAnsi="Verdana" w:cs="Arial"/>
          <w:lang w:val="es-ES"/>
        </w:rPr>
        <w:t xml:space="preserve">De otro lado, </w:t>
      </w:r>
      <w:r w:rsidR="00426735">
        <w:rPr>
          <w:rFonts w:ascii="Verdana" w:hAnsi="Verdana" w:cs="Arial"/>
          <w:lang w:val="es-ES"/>
        </w:rPr>
        <w:t xml:space="preserve">sería viable confrontar dicho numeral </w:t>
      </w:r>
      <w:r w:rsidRPr="00194D56">
        <w:rPr>
          <w:rFonts w:ascii="Verdana" w:hAnsi="Verdana" w:cs="Arial"/>
          <w:lang w:val="es-ES"/>
        </w:rPr>
        <w:t>con las conclusiones de</w:t>
      </w:r>
      <w:r w:rsidR="00881C46" w:rsidRPr="00194D56">
        <w:rPr>
          <w:rFonts w:ascii="Verdana" w:hAnsi="Verdana" w:cs="Arial"/>
          <w:lang w:val="es-ES"/>
        </w:rPr>
        <w:t xml:space="preserve"> </w:t>
      </w:r>
      <w:r w:rsidRPr="00194D56">
        <w:rPr>
          <w:rFonts w:ascii="Verdana" w:hAnsi="Verdana" w:cs="Arial"/>
          <w:lang w:val="es-ES"/>
        </w:rPr>
        <w:t>l</w:t>
      </w:r>
      <w:r w:rsidR="00881C46" w:rsidRPr="00194D56">
        <w:rPr>
          <w:rFonts w:ascii="Verdana" w:hAnsi="Verdana" w:cs="Arial"/>
          <w:lang w:val="es-ES"/>
        </w:rPr>
        <w:t>os</w:t>
      </w:r>
      <w:r w:rsidRPr="00194D56">
        <w:rPr>
          <w:rFonts w:ascii="Verdana" w:hAnsi="Verdana" w:cs="Arial"/>
          <w:lang w:val="es-ES"/>
        </w:rPr>
        <w:t xml:space="preserve"> </w:t>
      </w:r>
      <w:r w:rsidR="00881C46" w:rsidRPr="00194D56">
        <w:rPr>
          <w:rFonts w:ascii="Verdana" w:hAnsi="Verdana" w:cs="Arial"/>
          <w:lang w:val="es-ES"/>
        </w:rPr>
        <w:t>tres</w:t>
      </w:r>
      <w:r w:rsidR="00881C46" w:rsidRPr="00194D56">
        <w:rPr>
          <w:lang w:val="es-ES"/>
        </w:rPr>
        <w:t xml:space="preserve"> </w:t>
      </w:r>
      <w:r w:rsidRPr="00194D56">
        <w:rPr>
          <w:rFonts w:ascii="Verdana" w:hAnsi="Verdana" w:cs="Arial"/>
          <w:lang w:val="es-ES"/>
        </w:rPr>
        <w:t>Informe</w:t>
      </w:r>
      <w:r w:rsidR="00881C46" w:rsidRPr="00194D56">
        <w:rPr>
          <w:rFonts w:ascii="Verdana" w:hAnsi="Verdana" w:cs="Arial"/>
          <w:lang w:val="es-ES"/>
        </w:rPr>
        <w:t>s</w:t>
      </w:r>
      <w:r w:rsidRPr="00194D56">
        <w:rPr>
          <w:rFonts w:ascii="Verdana" w:hAnsi="Verdana" w:cs="Arial"/>
          <w:lang w:val="es-ES"/>
        </w:rPr>
        <w:t xml:space="preserve"> de Monitoreo</w:t>
      </w:r>
      <w:r w:rsidR="00776DAA" w:rsidRPr="00194D56">
        <w:rPr>
          <w:rFonts w:ascii="Verdana" w:hAnsi="Verdana" w:cs="Arial"/>
          <w:lang w:val="es-ES"/>
        </w:rPr>
        <w:t xml:space="preserve"> realizados a la </w:t>
      </w:r>
      <w:r w:rsidR="00881C46" w:rsidRPr="00194D56">
        <w:rPr>
          <w:rFonts w:ascii="Verdana" w:hAnsi="Verdana" w:cs="Arial"/>
          <w:lang w:val="es-ES"/>
        </w:rPr>
        <w:t>Resolución 4444</w:t>
      </w:r>
      <w:r w:rsidR="0091312C" w:rsidRPr="00194D56">
        <w:rPr>
          <w:rFonts w:ascii="Verdana" w:hAnsi="Verdana" w:cs="Arial"/>
          <w:lang w:val="es-ES"/>
        </w:rPr>
        <w:t xml:space="preserve"> de 2014</w:t>
      </w:r>
      <w:r w:rsidR="00881C46" w:rsidRPr="00194D56">
        <w:rPr>
          <w:rFonts w:ascii="Verdana" w:hAnsi="Verdana" w:cs="Arial"/>
          <w:lang w:val="es-ES"/>
        </w:rPr>
        <w:t>, elaborados por la CRC</w:t>
      </w:r>
      <w:r w:rsidR="00426735">
        <w:rPr>
          <w:rFonts w:ascii="Verdana" w:hAnsi="Verdana" w:cs="Arial"/>
          <w:lang w:val="es-ES"/>
        </w:rPr>
        <w:t xml:space="preserve">, </w:t>
      </w:r>
      <w:r w:rsidR="00C52A04">
        <w:rPr>
          <w:rFonts w:ascii="Verdana" w:hAnsi="Verdana" w:cs="Arial"/>
          <w:lang w:val="es-ES"/>
        </w:rPr>
        <w:t>por ejemplo</w:t>
      </w:r>
      <w:r w:rsidR="00426735">
        <w:rPr>
          <w:rFonts w:ascii="Verdana" w:hAnsi="Verdana" w:cs="Arial"/>
          <w:lang w:val="es-ES"/>
        </w:rPr>
        <w:t>, el</w:t>
      </w:r>
      <w:r w:rsidR="00776DAA" w:rsidRPr="00C52A04">
        <w:rPr>
          <w:rFonts w:ascii="Verdana" w:hAnsi="Verdana" w:cs="Arial"/>
          <w:lang w:val="es-ES"/>
        </w:rPr>
        <w:t xml:space="preserve"> </w:t>
      </w:r>
      <w:r w:rsidR="00881C46" w:rsidRPr="00C52A04">
        <w:rPr>
          <w:rFonts w:ascii="Verdana" w:hAnsi="Verdana" w:cs="Arial"/>
          <w:lang w:val="es-ES"/>
        </w:rPr>
        <w:t>Informe de 2015</w:t>
      </w:r>
      <w:r w:rsidR="00426735">
        <w:rPr>
          <w:rFonts w:ascii="Verdana" w:hAnsi="Verdana" w:cs="Arial"/>
          <w:lang w:val="es-ES"/>
        </w:rPr>
        <w:t>, establece</w:t>
      </w:r>
      <w:r w:rsidR="00881C46" w:rsidRPr="00C52A04">
        <w:rPr>
          <w:rFonts w:ascii="Verdana" w:hAnsi="Verdana" w:cs="Arial"/>
          <w:lang w:val="es-ES"/>
        </w:rPr>
        <w:t xml:space="preserve"> </w:t>
      </w:r>
      <w:r w:rsidR="00881C46" w:rsidRPr="00194D56">
        <w:rPr>
          <w:rFonts w:ascii="Verdana" w:hAnsi="Verdana" w:cs="Arial"/>
          <w:lang w:val="es-ES"/>
        </w:rPr>
        <w:t>lo siguiente</w:t>
      </w:r>
      <w:r w:rsidRPr="00194D56">
        <w:rPr>
          <w:rFonts w:ascii="Verdana" w:hAnsi="Verdana" w:cs="Arial"/>
          <w:lang w:val="es-ES"/>
        </w:rPr>
        <w:t>:</w:t>
      </w:r>
    </w:p>
    <w:p w14:paraId="312AADA2" w14:textId="77777777" w:rsidR="00667E6C" w:rsidRPr="00194D56" w:rsidRDefault="000A5884" w:rsidP="00686E32">
      <w:pPr>
        <w:pStyle w:val="NormalWeb"/>
        <w:shd w:val="clear" w:color="auto" w:fill="FFFFFF"/>
        <w:spacing w:before="0" w:beforeAutospacing="0" w:after="150" w:afterAutospacing="0" w:line="276" w:lineRule="auto"/>
        <w:ind w:left="1416"/>
        <w:jc w:val="both"/>
        <w:rPr>
          <w:rFonts w:ascii="Verdana" w:eastAsiaTheme="minorHAnsi" w:hAnsi="Verdana" w:cs="Arial"/>
          <w:i/>
          <w:sz w:val="20"/>
          <w:szCs w:val="22"/>
          <w:lang w:val="es-ES" w:eastAsia="en-US"/>
        </w:rPr>
      </w:pPr>
      <w:r w:rsidRPr="00194D56">
        <w:rPr>
          <w:rFonts w:ascii="Verdana" w:eastAsiaTheme="minorHAnsi" w:hAnsi="Verdana" w:cs="Arial"/>
          <w:i/>
          <w:sz w:val="20"/>
          <w:szCs w:val="22"/>
          <w:lang w:val="es-ES" w:eastAsia="en-US"/>
        </w:rPr>
        <w:t>La mayor oferta de equipos es impulsada por la entrada de nuevos jugadores al mercado, pues ahora el usuario tiene la opción de adquirir sus equipos no sólo en las tiendas de los operadores móviles sino también en las grandes superficies, comercializadores autorizados, almacenes de cadena, tiendas de los fabricantes y páginas de internet, lo que ha generado más competencia, en beneficio del usuario.</w:t>
      </w:r>
    </w:p>
    <w:p w14:paraId="691580F4" w14:textId="77777777" w:rsidR="00776DAA" w:rsidRPr="00194D56" w:rsidRDefault="00776DAA" w:rsidP="00686E32">
      <w:pPr>
        <w:pStyle w:val="NormalWeb"/>
        <w:shd w:val="clear" w:color="auto" w:fill="FFFFFF"/>
        <w:spacing w:before="0" w:beforeAutospacing="0" w:after="150" w:afterAutospacing="0" w:line="276" w:lineRule="auto"/>
        <w:ind w:left="1416"/>
        <w:jc w:val="both"/>
        <w:rPr>
          <w:rFonts w:ascii="Verdana" w:eastAsiaTheme="minorHAnsi" w:hAnsi="Verdana" w:cs="Arial"/>
          <w:i/>
          <w:sz w:val="20"/>
          <w:szCs w:val="22"/>
          <w:lang w:val="es-ES" w:eastAsia="en-US"/>
        </w:rPr>
      </w:pPr>
    </w:p>
    <w:p w14:paraId="4D53DF04" w14:textId="28ACE3B2" w:rsidR="00881C46" w:rsidRPr="00194D56" w:rsidRDefault="00E03F84" w:rsidP="00686E32">
      <w:pPr>
        <w:pStyle w:val="NormalWeb"/>
        <w:shd w:val="clear" w:color="auto" w:fill="FFFFFF"/>
        <w:spacing w:before="0" w:beforeAutospacing="0" w:after="150" w:afterAutospacing="0" w:line="276" w:lineRule="auto"/>
        <w:ind w:left="426"/>
        <w:jc w:val="both"/>
        <w:rPr>
          <w:rFonts w:ascii="Verdana" w:eastAsiaTheme="minorHAnsi" w:hAnsi="Verdana" w:cs="Arial"/>
          <w:sz w:val="22"/>
          <w:szCs w:val="22"/>
          <w:lang w:val="es-ES" w:eastAsia="en-US"/>
        </w:rPr>
      </w:pPr>
      <w:r>
        <w:rPr>
          <w:rFonts w:ascii="Verdana" w:eastAsiaTheme="minorHAnsi" w:hAnsi="Verdana" w:cs="Arial"/>
          <w:sz w:val="22"/>
          <w:szCs w:val="22"/>
          <w:lang w:val="es-ES" w:eastAsia="en-US"/>
        </w:rPr>
        <w:lastRenderedPageBreak/>
        <w:t xml:space="preserve">En el mismo sentido, </w:t>
      </w:r>
      <w:r w:rsidR="00881C46" w:rsidRPr="00E03F84">
        <w:rPr>
          <w:rFonts w:ascii="Verdana" w:eastAsiaTheme="minorHAnsi" w:hAnsi="Verdana" w:cs="Arial"/>
          <w:sz w:val="22"/>
          <w:szCs w:val="22"/>
          <w:lang w:val="es-ES" w:eastAsia="en-US"/>
        </w:rPr>
        <w:t>el Informe de 2016</w:t>
      </w:r>
      <w:r>
        <w:rPr>
          <w:rFonts w:ascii="Verdana" w:eastAsiaTheme="minorHAnsi" w:hAnsi="Verdana" w:cs="Arial"/>
          <w:sz w:val="22"/>
          <w:szCs w:val="22"/>
          <w:lang w:val="es-ES" w:eastAsia="en-US"/>
        </w:rPr>
        <w:t xml:space="preserve">, </w:t>
      </w:r>
      <w:r w:rsidR="00426735">
        <w:rPr>
          <w:rFonts w:ascii="Verdana" w:eastAsiaTheme="minorHAnsi" w:hAnsi="Verdana" w:cs="Arial"/>
          <w:sz w:val="22"/>
          <w:szCs w:val="22"/>
          <w:lang w:val="es-ES" w:eastAsia="en-US"/>
        </w:rPr>
        <w:t xml:space="preserve"> en relación con el tema de estudio,</w:t>
      </w:r>
      <w:r>
        <w:rPr>
          <w:rFonts w:ascii="Verdana" w:eastAsiaTheme="minorHAnsi" w:hAnsi="Verdana" w:cs="Arial"/>
          <w:sz w:val="22"/>
          <w:szCs w:val="22"/>
          <w:lang w:val="es-ES" w:eastAsia="en-US"/>
        </w:rPr>
        <w:t xml:space="preserve"> indica que</w:t>
      </w:r>
      <w:r w:rsidR="00881C46" w:rsidRPr="00194D56">
        <w:rPr>
          <w:rFonts w:ascii="Verdana" w:eastAsiaTheme="minorHAnsi" w:hAnsi="Verdana" w:cs="Arial"/>
          <w:sz w:val="22"/>
          <w:szCs w:val="22"/>
          <w:lang w:val="es-ES" w:eastAsia="en-US"/>
        </w:rPr>
        <w:t>:</w:t>
      </w:r>
    </w:p>
    <w:p w14:paraId="259F7B04" w14:textId="77777777" w:rsidR="00881C46" w:rsidRPr="00194D56" w:rsidRDefault="00881C46" w:rsidP="00686E32">
      <w:pPr>
        <w:pStyle w:val="NormalWeb"/>
        <w:shd w:val="clear" w:color="auto" w:fill="FFFFFF"/>
        <w:spacing w:before="0" w:beforeAutospacing="0" w:after="150" w:afterAutospacing="0" w:line="276" w:lineRule="auto"/>
        <w:ind w:left="1416"/>
        <w:jc w:val="both"/>
        <w:rPr>
          <w:rFonts w:ascii="Verdana" w:eastAsiaTheme="minorHAnsi" w:hAnsi="Verdana" w:cs="Arial"/>
          <w:sz w:val="22"/>
          <w:szCs w:val="22"/>
          <w:lang w:val="es-ES" w:eastAsia="en-US"/>
        </w:rPr>
      </w:pPr>
      <w:r w:rsidRPr="00194D56">
        <w:rPr>
          <w:rFonts w:ascii="Verdana" w:eastAsiaTheme="minorHAnsi" w:hAnsi="Verdana" w:cs="Arial"/>
          <w:i/>
          <w:sz w:val="20"/>
          <w:szCs w:val="22"/>
          <w:lang w:val="es-ES" w:eastAsia="en-US"/>
        </w:rPr>
        <w:t xml:space="preserve">Las condiciones de competencia del mercado de terminales móviles han mejorado, pues cuenta con mayor número de jugadores y mayor diversidad en los tipos de productos. El usuario tiene la opción de adquirir sus equipos no sólo en las tiendas de los operadores móviles sino también en las grandes superficies, comercializadores autorizados, almacenes de cadena, tiendas de los fabricantes y páginas de internet, lo que ha </w:t>
      </w:r>
      <w:r w:rsidRPr="00194D56">
        <w:rPr>
          <w:rFonts w:ascii="Verdana" w:eastAsiaTheme="minorHAnsi" w:hAnsi="Verdana" w:cs="Arial"/>
          <w:i/>
          <w:sz w:val="20"/>
          <w:szCs w:val="20"/>
          <w:lang w:val="es-ES" w:eastAsia="en-US"/>
        </w:rPr>
        <w:t>generado más competencia, en beneficio del usuario.</w:t>
      </w:r>
    </w:p>
    <w:p w14:paraId="723F04C5" w14:textId="54B2867B" w:rsidR="00272F98" w:rsidRPr="00194D56" w:rsidRDefault="00272F98" w:rsidP="00686E32">
      <w:pPr>
        <w:pStyle w:val="NormalWeb"/>
        <w:numPr>
          <w:ilvl w:val="0"/>
          <w:numId w:val="2"/>
        </w:numPr>
        <w:shd w:val="clear" w:color="auto" w:fill="FFFFFF"/>
        <w:spacing w:before="0" w:beforeAutospacing="0" w:after="150" w:afterAutospacing="0" w:line="276" w:lineRule="auto"/>
        <w:jc w:val="both"/>
        <w:rPr>
          <w:rFonts w:ascii="Verdana" w:eastAsiaTheme="minorHAnsi" w:hAnsi="Verdana" w:cs="Arial"/>
          <w:sz w:val="22"/>
          <w:szCs w:val="22"/>
          <w:lang w:val="es-ES" w:eastAsia="en-US"/>
        </w:rPr>
      </w:pPr>
      <w:r w:rsidRPr="00194D56">
        <w:rPr>
          <w:rFonts w:ascii="Verdana" w:eastAsiaTheme="minorHAnsi" w:hAnsi="Verdana" w:cs="Arial"/>
          <w:sz w:val="22"/>
          <w:szCs w:val="22"/>
          <w:lang w:val="es-ES" w:eastAsia="en-US"/>
        </w:rPr>
        <w:t>E</w:t>
      </w:r>
      <w:r w:rsidR="00776DAA" w:rsidRPr="00194D56">
        <w:rPr>
          <w:rFonts w:ascii="Verdana" w:eastAsiaTheme="minorHAnsi" w:hAnsi="Verdana" w:cs="Arial"/>
          <w:sz w:val="22"/>
          <w:szCs w:val="22"/>
          <w:lang w:val="es-ES" w:eastAsia="en-US"/>
        </w:rPr>
        <w:t xml:space="preserve">n igual sentido, </w:t>
      </w:r>
      <w:r w:rsidR="00053268" w:rsidRPr="00194D56">
        <w:rPr>
          <w:rFonts w:ascii="Verdana" w:eastAsiaTheme="minorHAnsi" w:hAnsi="Verdana" w:cs="Arial"/>
          <w:sz w:val="22"/>
          <w:szCs w:val="22"/>
          <w:lang w:val="es-ES" w:eastAsia="en-US"/>
        </w:rPr>
        <w:t>se sugiere revisar los criterios por los cuales la Comisión de Regulación de Comunicaciones considera que</w:t>
      </w:r>
      <w:r w:rsidR="00A96162" w:rsidRPr="00194D56">
        <w:rPr>
          <w:rFonts w:ascii="Verdana" w:eastAsiaTheme="minorHAnsi" w:hAnsi="Verdana" w:cs="Arial"/>
          <w:sz w:val="22"/>
          <w:szCs w:val="22"/>
          <w:lang w:val="es-ES" w:eastAsia="en-US"/>
        </w:rPr>
        <w:t xml:space="preserve"> es conveniente que</w:t>
      </w:r>
      <w:r w:rsidR="00053268" w:rsidRPr="00194D56">
        <w:rPr>
          <w:rFonts w:ascii="Verdana" w:eastAsiaTheme="minorHAnsi" w:hAnsi="Verdana" w:cs="Arial"/>
          <w:sz w:val="22"/>
          <w:szCs w:val="22"/>
          <w:lang w:val="es-ES" w:eastAsia="en-US"/>
        </w:rPr>
        <w:t xml:space="preserve"> se </w:t>
      </w:r>
      <w:r w:rsidR="000C6CAD" w:rsidRPr="00194D56">
        <w:rPr>
          <w:rFonts w:ascii="Verdana" w:eastAsiaTheme="minorHAnsi" w:hAnsi="Verdana" w:cs="Arial"/>
          <w:sz w:val="22"/>
          <w:szCs w:val="22"/>
          <w:lang w:val="es-ES" w:eastAsia="en-US"/>
        </w:rPr>
        <w:t>“equilibre”</w:t>
      </w:r>
      <w:r w:rsidR="00A96162" w:rsidRPr="00194D56">
        <w:rPr>
          <w:rFonts w:ascii="Verdana" w:eastAsiaTheme="minorHAnsi" w:hAnsi="Verdana" w:cs="Arial"/>
          <w:sz w:val="22"/>
          <w:szCs w:val="22"/>
          <w:lang w:val="es-ES" w:eastAsia="en-US"/>
        </w:rPr>
        <w:t xml:space="preserve"> el escenario para los</w:t>
      </w:r>
      <w:r w:rsidR="00053268" w:rsidRPr="00194D56">
        <w:rPr>
          <w:rFonts w:ascii="Verdana" w:eastAsiaTheme="minorHAnsi" w:hAnsi="Verdana" w:cs="Arial"/>
          <w:sz w:val="22"/>
          <w:szCs w:val="22"/>
          <w:lang w:val="es-ES" w:eastAsia="en-US"/>
        </w:rPr>
        <w:t xml:space="preserve"> PRST</w:t>
      </w:r>
      <w:r w:rsidR="000C6CAD" w:rsidRPr="00194D56">
        <w:rPr>
          <w:rFonts w:ascii="Verdana" w:eastAsiaTheme="minorHAnsi" w:hAnsi="Verdana" w:cs="Arial"/>
          <w:sz w:val="22"/>
          <w:szCs w:val="22"/>
          <w:lang w:val="es-ES" w:eastAsia="en-US"/>
        </w:rPr>
        <w:t xml:space="preserve"> </w:t>
      </w:r>
      <w:r w:rsidR="00A96162" w:rsidRPr="00194D56">
        <w:rPr>
          <w:rFonts w:ascii="Verdana" w:eastAsiaTheme="minorHAnsi" w:hAnsi="Verdana" w:cs="Arial"/>
          <w:sz w:val="22"/>
          <w:szCs w:val="22"/>
          <w:lang w:val="es-ES" w:eastAsia="en-US"/>
        </w:rPr>
        <w:t xml:space="preserve">respecto de los </w:t>
      </w:r>
      <w:r w:rsidR="000C6CAD" w:rsidRPr="00194D56">
        <w:rPr>
          <w:rFonts w:ascii="Verdana" w:eastAsiaTheme="minorHAnsi" w:hAnsi="Verdana" w:cs="Arial"/>
          <w:sz w:val="22"/>
          <w:szCs w:val="22"/>
          <w:lang w:val="es-ES" w:eastAsia="en-US"/>
        </w:rPr>
        <w:t>agentes entrantes,</w:t>
      </w:r>
      <w:r w:rsidR="00053268" w:rsidRPr="00194D56">
        <w:rPr>
          <w:rFonts w:ascii="Verdana" w:eastAsiaTheme="minorHAnsi" w:hAnsi="Verdana" w:cs="Arial"/>
          <w:sz w:val="22"/>
          <w:szCs w:val="22"/>
          <w:lang w:val="es-ES" w:eastAsia="en-US"/>
        </w:rPr>
        <w:t xml:space="preserve"> para l</w:t>
      </w:r>
      <w:r w:rsidR="00426735">
        <w:rPr>
          <w:rFonts w:ascii="Verdana" w:eastAsiaTheme="minorHAnsi" w:hAnsi="Verdana" w:cs="Arial"/>
          <w:sz w:val="22"/>
          <w:szCs w:val="22"/>
          <w:lang w:val="es-ES" w:eastAsia="en-US"/>
        </w:rPr>
        <w:t>o</w:t>
      </w:r>
      <w:r w:rsidR="00053268" w:rsidRPr="00194D56">
        <w:rPr>
          <w:rFonts w:ascii="Verdana" w:eastAsiaTheme="minorHAnsi" w:hAnsi="Verdana" w:cs="Arial"/>
          <w:sz w:val="22"/>
          <w:szCs w:val="22"/>
          <w:lang w:val="es-ES" w:eastAsia="en-US"/>
        </w:rPr>
        <w:t xml:space="preserve"> cual sería conveniente contar con otras herramientas de análisis donde se revisen las </w:t>
      </w:r>
      <w:r w:rsidR="000C6CAD" w:rsidRPr="00194D56">
        <w:rPr>
          <w:rFonts w:ascii="Verdana" w:eastAsiaTheme="minorHAnsi" w:hAnsi="Verdana" w:cs="Arial"/>
          <w:sz w:val="22"/>
          <w:szCs w:val="22"/>
          <w:lang w:val="es-ES" w:eastAsia="en-US"/>
        </w:rPr>
        <w:t>ofertas de cada uno de estos</w:t>
      </w:r>
      <w:r w:rsidR="0024168A" w:rsidRPr="00194D56">
        <w:rPr>
          <w:rFonts w:ascii="Verdana" w:eastAsiaTheme="minorHAnsi" w:hAnsi="Verdana" w:cs="Arial"/>
          <w:sz w:val="22"/>
          <w:szCs w:val="22"/>
          <w:lang w:val="es-ES" w:eastAsia="en-US"/>
        </w:rPr>
        <w:t xml:space="preserve"> jugadores</w:t>
      </w:r>
      <w:r w:rsidR="00C77849">
        <w:rPr>
          <w:rFonts w:ascii="Verdana" w:eastAsiaTheme="minorHAnsi" w:hAnsi="Verdana" w:cs="Arial"/>
          <w:sz w:val="22"/>
          <w:szCs w:val="22"/>
          <w:lang w:val="es-ES" w:eastAsia="en-US"/>
        </w:rPr>
        <w:t xml:space="preserve">. Esto </w:t>
      </w:r>
      <w:r w:rsidR="00053268" w:rsidRPr="00194D56">
        <w:rPr>
          <w:rFonts w:ascii="Verdana" w:eastAsiaTheme="minorHAnsi" w:hAnsi="Verdana" w:cs="Arial"/>
          <w:sz w:val="22"/>
          <w:szCs w:val="22"/>
          <w:lang w:val="es-ES" w:eastAsia="en-US"/>
        </w:rPr>
        <w:t>permitirá efectuar valoraciones sobre la posible</w:t>
      </w:r>
      <w:r w:rsidR="00C77849">
        <w:rPr>
          <w:rFonts w:ascii="Verdana" w:eastAsiaTheme="minorHAnsi" w:hAnsi="Verdana" w:cs="Arial"/>
          <w:sz w:val="22"/>
          <w:szCs w:val="22"/>
          <w:lang w:val="es-ES" w:eastAsia="en-US"/>
        </w:rPr>
        <w:t xml:space="preserve"> </w:t>
      </w:r>
      <w:r w:rsidR="000C6CAD" w:rsidRPr="00194D56">
        <w:rPr>
          <w:rFonts w:ascii="Verdana" w:eastAsiaTheme="minorHAnsi" w:hAnsi="Verdana" w:cs="Arial"/>
          <w:sz w:val="22"/>
          <w:szCs w:val="22"/>
          <w:lang w:val="es-ES" w:eastAsia="en-US"/>
        </w:rPr>
        <w:t>intervención regulatoria en este sentido.</w:t>
      </w:r>
    </w:p>
    <w:p w14:paraId="76A6DBDF" w14:textId="77777777" w:rsidR="003A70C2" w:rsidRPr="00194D56" w:rsidRDefault="00B63984" w:rsidP="00686E32">
      <w:pPr>
        <w:pStyle w:val="NormalWeb"/>
        <w:numPr>
          <w:ilvl w:val="0"/>
          <w:numId w:val="2"/>
        </w:numPr>
        <w:shd w:val="clear" w:color="auto" w:fill="FFFFFF"/>
        <w:spacing w:before="0" w:beforeAutospacing="0" w:after="150" w:afterAutospacing="0" w:line="276" w:lineRule="auto"/>
        <w:jc w:val="both"/>
        <w:rPr>
          <w:rFonts w:ascii="Verdana" w:eastAsiaTheme="minorHAnsi" w:hAnsi="Verdana" w:cs="Arial"/>
          <w:sz w:val="22"/>
          <w:szCs w:val="22"/>
          <w:lang w:val="es-ES" w:eastAsia="en-US"/>
        </w:rPr>
      </w:pPr>
      <w:r w:rsidRPr="00194D56">
        <w:rPr>
          <w:rFonts w:ascii="Verdana" w:eastAsiaTheme="minorHAnsi" w:hAnsi="Verdana" w:cs="Arial"/>
          <w:sz w:val="22"/>
          <w:szCs w:val="22"/>
          <w:lang w:val="es-ES" w:eastAsia="en-US"/>
        </w:rPr>
        <w:t>Frente al desarrollo del AIN y los resultados, señalamos lo siguiente:</w:t>
      </w:r>
    </w:p>
    <w:p w14:paraId="7A4DDFD6" w14:textId="51F4BE19" w:rsidR="00C6469F" w:rsidRPr="00194D56" w:rsidRDefault="001D3E72" w:rsidP="00686E32">
      <w:pPr>
        <w:pStyle w:val="NormalWeb"/>
        <w:numPr>
          <w:ilvl w:val="0"/>
          <w:numId w:val="4"/>
        </w:numPr>
        <w:shd w:val="clear" w:color="auto" w:fill="FFFFFF"/>
        <w:spacing w:before="0" w:beforeAutospacing="0" w:after="150" w:afterAutospacing="0" w:line="276" w:lineRule="auto"/>
        <w:jc w:val="both"/>
        <w:rPr>
          <w:rFonts w:ascii="Verdana" w:eastAsiaTheme="minorHAnsi" w:hAnsi="Verdana" w:cs="Arial"/>
          <w:sz w:val="22"/>
          <w:szCs w:val="22"/>
          <w:lang w:val="es-ES" w:eastAsia="en-US"/>
        </w:rPr>
      </w:pPr>
      <w:r w:rsidRPr="00194D56">
        <w:rPr>
          <w:rFonts w:ascii="Verdana" w:eastAsiaTheme="minorHAnsi" w:hAnsi="Verdana" w:cs="Arial"/>
          <w:sz w:val="22"/>
          <w:szCs w:val="22"/>
          <w:lang w:val="es-ES" w:eastAsia="en-US"/>
        </w:rPr>
        <w:t>Respecto de la alternativa 1</w:t>
      </w:r>
      <w:r w:rsidR="00C6469F" w:rsidRPr="00194D56">
        <w:rPr>
          <w:rFonts w:ascii="Verdana" w:eastAsiaTheme="minorHAnsi" w:hAnsi="Verdana" w:cs="Arial"/>
          <w:sz w:val="22"/>
          <w:szCs w:val="22"/>
          <w:lang w:val="es-ES" w:eastAsia="en-US"/>
        </w:rPr>
        <w:t xml:space="preserve">: </w:t>
      </w:r>
      <w:r w:rsidR="006B2B35">
        <w:rPr>
          <w:rFonts w:ascii="Verdana" w:eastAsiaTheme="minorHAnsi" w:hAnsi="Verdana" w:cs="Arial"/>
          <w:sz w:val="22"/>
          <w:szCs w:val="22"/>
          <w:lang w:val="es-ES" w:eastAsia="en-US"/>
        </w:rPr>
        <w:t>“</w:t>
      </w:r>
      <w:r w:rsidR="0022454E">
        <w:rPr>
          <w:rFonts w:ascii="Verdana" w:eastAsiaTheme="minorHAnsi" w:hAnsi="Verdana" w:cs="Arial"/>
          <w:sz w:val="22"/>
          <w:szCs w:val="22"/>
          <w:lang w:eastAsia="en-US"/>
        </w:rPr>
        <w:t>Mantener</w:t>
      </w:r>
      <w:r w:rsidR="0022454E" w:rsidRPr="0022454E">
        <w:rPr>
          <w:rFonts w:ascii="Verdana" w:eastAsiaTheme="minorHAnsi" w:hAnsi="Verdana" w:cs="Arial"/>
          <w:sz w:val="22"/>
          <w:szCs w:val="22"/>
          <w:lang w:val="es-ES" w:eastAsia="en-US"/>
        </w:rPr>
        <w:t xml:space="preserve"> </w:t>
      </w:r>
      <w:r w:rsidR="00C6469F" w:rsidRPr="006B2B35">
        <w:rPr>
          <w:rFonts w:ascii="Verdana" w:eastAsiaTheme="minorHAnsi" w:hAnsi="Verdana" w:cs="Arial"/>
          <w:sz w:val="22"/>
          <w:szCs w:val="22"/>
          <w:lang w:val="es-ES" w:eastAsia="en-US"/>
        </w:rPr>
        <w:t>la prohibición</w:t>
      </w:r>
      <w:r w:rsidR="006B2B35">
        <w:rPr>
          <w:rFonts w:ascii="Verdana" w:eastAsiaTheme="minorHAnsi" w:hAnsi="Verdana" w:cs="Arial"/>
          <w:sz w:val="22"/>
          <w:szCs w:val="22"/>
          <w:lang w:val="es-ES" w:eastAsia="en-US"/>
        </w:rPr>
        <w:t>”</w:t>
      </w:r>
      <w:r w:rsidR="00C6469F" w:rsidRPr="006B2B35">
        <w:rPr>
          <w:rFonts w:ascii="Verdana" w:eastAsiaTheme="minorHAnsi" w:hAnsi="Verdana" w:cs="Arial"/>
          <w:sz w:val="22"/>
          <w:szCs w:val="22"/>
          <w:lang w:val="es-ES" w:eastAsia="en-US"/>
        </w:rPr>
        <w:t>.</w:t>
      </w:r>
    </w:p>
    <w:p w14:paraId="18910F41" w14:textId="77777777" w:rsidR="00B63984" w:rsidRPr="00194D56" w:rsidRDefault="00B63984" w:rsidP="00686E32">
      <w:pPr>
        <w:pStyle w:val="NormalWeb"/>
        <w:shd w:val="clear" w:color="auto" w:fill="FFFFFF"/>
        <w:spacing w:after="150" w:line="276" w:lineRule="auto"/>
        <w:ind w:left="1416"/>
        <w:jc w:val="both"/>
        <w:rPr>
          <w:rFonts w:ascii="Verdana" w:eastAsiaTheme="minorHAnsi" w:hAnsi="Verdana" w:cs="Arial"/>
          <w:i/>
          <w:sz w:val="20"/>
          <w:szCs w:val="22"/>
          <w:lang w:val="es-ES" w:eastAsia="en-US"/>
        </w:rPr>
      </w:pPr>
      <w:r w:rsidRPr="00194D56">
        <w:rPr>
          <w:rFonts w:ascii="Verdana" w:eastAsiaTheme="minorHAnsi" w:hAnsi="Verdana" w:cs="Arial"/>
          <w:i/>
          <w:sz w:val="20"/>
          <w:szCs w:val="22"/>
          <w:lang w:val="es-ES" w:eastAsia="en-US"/>
        </w:rPr>
        <w:t xml:space="preserve">5.3.1.2 </w:t>
      </w:r>
      <w:r w:rsidR="00C6469F" w:rsidRPr="00194D56">
        <w:rPr>
          <w:rFonts w:ascii="Verdana" w:eastAsiaTheme="minorHAnsi" w:hAnsi="Verdana" w:cs="Arial"/>
          <w:sz w:val="20"/>
          <w:szCs w:val="22"/>
          <w:lang w:val="es-ES" w:eastAsia="en-US"/>
        </w:rPr>
        <w:t>[Criterio 2]</w:t>
      </w:r>
      <w:r w:rsidR="00C6469F" w:rsidRPr="00194D56">
        <w:rPr>
          <w:rFonts w:ascii="Verdana" w:eastAsiaTheme="minorHAnsi" w:hAnsi="Verdana" w:cs="Arial"/>
          <w:i/>
          <w:sz w:val="20"/>
          <w:szCs w:val="22"/>
          <w:lang w:val="es-ES" w:eastAsia="en-US"/>
        </w:rPr>
        <w:t xml:space="preserve"> </w:t>
      </w:r>
      <w:r w:rsidRPr="00194D56">
        <w:rPr>
          <w:rFonts w:ascii="Verdana" w:eastAsiaTheme="minorHAnsi" w:hAnsi="Verdana" w:cs="Arial"/>
          <w:i/>
          <w:sz w:val="20"/>
          <w:szCs w:val="22"/>
          <w:lang w:val="es-ES" w:eastAsia="en-US"/>
        </w:rPr>
        <w:t>Promoción de condiciones competitivas en la comercialización de ETM. Mantener la mencionada prohibición no generaría ningún tipo de impacto nuevo en las condiciones de competencia que actualmente se presentan en el mercado de comercialización de equipos terminales móviles.</w:t>
      </w:r>
    </w:p>
    <w:p w14:paraId="1002E37E" w14:textId="77777777" w:rsidR="00B63984" w:rsidRPr="00194D56" w:rsidRDefault="00B63984" w:rsidP="00686E32">
      <w:pPr>
        <w:pStyle w:val="NormalWeb"/>
        <w:shd w:val="clear" w:color="auto" w:fill="FFFFFF"/>
        <w:spacing w:after="150" w:line="276" w:lineRule="auto"/>
        <w:ind w:left="1416"/>
        <w:jc w:val="both"/>
        <w:rPr>
          <w:rFonts w:ascii="Verdana" w:eastAsiaTheme="minorHAnsi" w:hAnsi="Verdana" w:cs="Arial"/>
          <w:i/>
          <w:sz w:val="20"/>
          <w:szCs w:val="22"/>
          <w:lang w:val="es-ES" w:eastAsia="en-US"/>
        </w:rPr>
      </w:pPr>
      <w:r w:rsidRPr="00194D56">
        <w:rPr>
          <w:rFonts w:ascii="Verdana" w:eastAsiaTheme="minorHAnsi" w:hAnsi="Verdana" w:cs="Arial"/>
          <w:i/>
          <w:sz w:val="20"/>
          <w:szCs w:val="22"/>
          <w:lang w:val="es-ES" w:eastAsia="en-US"/>
        </w:rPr>
        <w:t>Es así como esta opción regulatoria no promueve la generación de ofertas por parte de los proveedores, que permitan equilibrar las estrategias comerciales de los diferentes agentes.</w:t>
      </w:r>
    </w:p>
    <w:p w14:paraId="59DE1910" w14:textId="77777777" w:rsidR="00B63984" w:rsidRPr="00194D56" w:rsidRDefault="00B63984" w:rsidP="00686E32">
      <w:pPr>
        <w:pStyle w:val="NormalWeb"/>
        <w:shd w:val="clear" w:color="auto" w:fill="FFFFFF"/>
        <w:spacing w:before="0" w:beforeAutospacing="0" w:after="150" w:afterAutospacing="0" w:line="276" w:lineRule="auto"/>
        <w:ind w:left="1416"/>
        <w:jc w:val="both"/>
        <w:rPr>
          <w:rFonts w:ascii="Verdana" w:eastAsiaTheme="minorHAnsi" w:hAnsi="Verdana" w:cs="Arial"/>
          <w:i/>
          <w:sz w:val="20"/>
          <w:szCs w:val="22"/>
          <w:lang w:val="es-ES" w:eastAsia="en-US"/>
        </w:rPr>
      </w:pPr>
      <w:r w:rsidRPr="00194D56">
        <w:rPr>
          <w:rFonts w:ascii="Verdana" w:eastAsiaTheme="minorHAnsi" w:hAnsi="Verdana" w:cs="Arial"/>
          <w:i/>
          <w:sz w:val="20"/>
          <w:szCs w:val="22"/>
          <w:lang w:val="es-ES" w:eastAsia="en-US"/>
        </w:rPr>
        <w:t>Calificación: 1 punto</w:t>
      </w:r>
    </w:p>
    <w:p w14:paraId="7A73B2FA" w14:textId="0E920AD6" w:rsidR="0091312C" w:rsidRPr="00194D56" w:rsidRDefault="00B63984" w:rsidP="00686E32">
      <w:pPr>
        <w:pStyle w:val="NormalWeb"/>
        <w:shd w:val="clear" w:color="auto" w:fill="FFFFFF"/>
        <w:spacing w:before="0" w:beforeAutospacing="0" w:after="150" w:afterAutospacing="0" w:line="276" w:lineRule="auto"/>
        <w:ind w:left="360"/>
        <w:jc w:val="both"/>
        <w:rPr>
          <w:rFonts w:ascii="Verdana" w:eastAsiaTheme="minorHAnsi" w:hAnsi="Verdana" w:cs="Arial"/>
          <w:sz w:val="22"/>
          <w:szCs w:val="22"/>
          <w:lang w:val="es-ES" w:eastAsia="en-US"/>
        </w:rPr>
      </w:pPr>
      <w:r w:rsidRPr="00194D56">
        <w:rPr>
          <w:rFonts w:ascii="Verdana" w:eastAsiaTheme="minorHAnsi" w:hAnsi="Verdana" w:cs="Arial"/>
          <w:sz w:val="22"/>
          <w:szCs w:val="22"/>
          <w:lang w:val="es-ES" w:eastAsia="en-US"/>
        </w:rPr>
        <w:t>Comentario</w:t>
      </w:r>
      <w:r w:rsidR="007A7F0B" w:rsidRPr="00194D56">
        <w:rPr>
          <w:rFonts w:ascii="Verdana" w:eastAsiaTheme="minorHAnsi" w:hAnsi="Verdana" w:cs="Arial"/>
          <w:sz w:val="22"/>
          <w:szCs w:val="22"/>
          <w:lang w:val="es-ES" w:eastAsia="en-US"/>
        </w:rPr>
        <w:t xml:space="preserve"> 1</w:t>
      </w:r>
      <w:r w:rsidRPr="00194D56">
        <w:rPr>
          <w:rFonts w:ascii="Verdana" w:eastAsiaTheme="minorHAnsi" w:hAnsi="Verdana" w:cs="Arial"/>
          <w:sz w:val="22"/>
          <w:szCs w:val="22"/>
          <w:lang w:val="es-ES" w:eastAsia="en-US"/>
        </w:rPr>
        <w:t>:</w:t>
      </w:r>
      <w:r w:rsidR="00C77849">
        <w:rPr>
          <w:rFonts w:ascii="Verdana" w:eastAsiaTheme="minorHAnsi" w:hAnsi="Verdana" w:cs="Arial"/>
          <w:sz w:val="22"/>
          <w:szCs w:val="22"/>
          <w:lang w:val="es-ES" w:eastAsia="en-US"/>
        </w:rPr>
        <w:t xml:space="preserve"> </w:t>
      </w:r>
      <w:r w:rsidR="00C914FB" w:rsidRPr="0022454E">
        <w:rPr>
          <w:rFonts w:ascii="Verdana" w:eastAsiaTheme="minorHAnsi" w:hAnsi="Verdana" w:cs="Arial"/>
          <w:sz w:val="22"/>
          <w:szCs w:val="22"/>
          <w:lang w:val="es-ES" w:eastAsia="en-US"/>
        </w:rPr>
        <w:t>E</w:t>
      </w:r>
      <w:r w:rsidR="00C77849">
        <w:rPr>
          <w:rFonts w:ascii="Verdana" w:eastAsiaTheme="minorHAnsi" w:hAnsi="Verdana" w:cs="Arial"/>
          <w:sz w:val="22"/>
          <w:szCs w:val="22"/>
          <w:lang w:val="es-ES" w:eastAsia="en-US"/>
        </w:rPr>
        <w:t xml:space="preserve">s cierto que </w:t>
      </w:r>
      <w:r w:rsidR="0022454E">
        <w:rPr>
          <w:rFonts w:ascii="Verdana" w:eastAsiaTheme="minorHAnsi" w:hAnsi="Verdana" w:cs="Arial"/>
          <w:sz w:val="22"/>
          <w:szCs w:val="22"/>
          <w:lang w:val="es-ES" w:eastAsia="en-US"/>
        </w:rPr>
        <w:t>mantener</w:t>
      </w:r>
      <w:r w:rsidR="00C77849">
        <w:rPr>
          <w:rFonts w:ascii="Verdana" w:eastAsiaTheme="minorHAnsi" w:hAnsi="Verdana" w:cs="Arial"/>
          <w:sz w:val="22"/>
          <w:szCs w:val="22"/>
          <w:lang w:val="es-ES" w:eastAsia="en-US"/>
        </w:rPr>
        <w:t xml:space="preserve"> </w:t>
      </w:r>
      <w:r w:rsidR="00C914FB" w:rsidRPr="00194D56">
        <w:rPr>
          <w:rFonts w:ascii="Verdana" w:eastAsiaTheme="minorHAnsi" w:hAnsi="Verdana" w:cs="Arial"/>
          <w:sz w:val="22"/>
          <w:szCs w:val="22"/>
          <w:lang w:val="es-ES" w:eastAsia="en-US"/>
        </w:rPr>
        <w:t>la situación actual no generaría impactos nuevos</w:t>
      </w:r>
      <w:r w:rsidR="00C77849">
        <w:rPr>
          <w:rFonts w:ascii="Verdana" w:eastAsiaTheme="minorHAnsi" w:hAnsi="Verdana" w:cs="Arial"/>
          <w:sz w:val="22"/>
          <w:szCs w:val="22"/>
          <w:lang w:val="es-ES" w:eastAsia="en-US"/>
        </w:rPr>
        <w:t xml:space="preserve">, sin embargo, </w:t>
      </w:r>
      <w:r w:rsidR="0022454E">
        <w:rPr>
          <w:rFonts w:ascii="Verdana" w:eastAsiaTheme="minorHAnsi" w:hAnsi="Verdana" w:cs="Arial"/>
          <w:sz w:val="22"/>
          <w:szCs w:val="22"/>
          <w:lang w:val="es-ES" w:eastAsia="en-US"/>
        </w:rPr>
        <w:t>c</w:t>
      </w:r>
      <w:r w:rsidR="00C77849">
        <w:rPr>
          <w:rFonts w:ascii="Verdana" w:eastAsiaTheme="minorHAnsi" w:hAnsi="Verdana" w:cs="Arial"/>
          <w:sz w:val="22"/>
          <w:szCs w:val="22"/>
          <w:lang w:val="es-ES" w:eastAsia="en-US"/>
        </w:rPr>
        <w:t>abe anotar</w:t>
      </w:r>
      <w:r w:rsidR="0091312C" w:rsidRPr="0022454E">
        <w:rPr>
          <w:rFonts w:ascii="Verdana" w:eastAsiaTheme="minorHAnsi" w:hAnsi="Verdana" w:cs="Arial"/>
          <w:sz w:val="22"/>
          <w:szCs w:val="22"/>
          <w:lang w:val="es-ES" w:eastAsia="en-US"/>
        </w:rPr>
        <w:t xml:space="preserve"> </w:t>
      </w:r>
      <w:r w:rsidR="0091312C" w:rsidRPr="00194D56">
        <w:rPr>
          <w:rFonts w:ascii="Verdana" w:eastAsiaTheme="minorHAnsi" w:hAnsi="Verdana" w:cs="Arial"/>
          <w:sz w:val="22"/>
          <w:szCs w:val="22"/>
          <w:lang w:val="es-ES" w:eastAsia="en-US"/>
        </w:rPr>
        <w:t xml:space="preserve">que </w:t>
      </w:r>
      <w:r w:rsidR="00C77849">
        <w:rPr>
          <w:rFonts w:ascii="Verdana" w:eastAsiaTheme="minorHAnsi" w:hAnsi="Verdana" w:cs="Arial"/>
          <w:sz w:val="22"/>
          <w:szCs w:val="22"/>
          <w:lang w:val="es-ES" w:eastAsia="en-US"/>
        </w:rPr>
        <w:t>únicamente</w:t>
      </w:r>
      <w:r w:rsidR="00C77849" w:rsidRPr="00194D56">
        <w:rPr>
          <w:rFonts w:ascii="Verdana" w:eastAsiaTheme="minorHAnsi" w:hAnsi="Verdana" w:cs="Arial"/>
          <w:sz w:val="22"/>
          <w:szCs w:val="22"/>
          <w:lang w:val="es-ES" w:eastAsia="en-US"/>
        </w:rPr>
        <w:t xml:space="preserve"> </w:t>
      </w:r>
      <w:r w:rsidR="0091312C" w:rsidRPr="00194D56">
        <w:rPr>
          <w:rFonts w:ascii="Verdana" w:eastAsiaTheme="minorHAnsi" w:hAnsi="Verdana" w:cs="Arial"/>
          <w:sz w:val="22"/>
          <w:szCs w:val="22"/>
          <w:lang w:val="es-ES" w:eastAsia="en-US"/>
        </w:rPr>
        <w:t xml:space="preserve">se </w:t>
      </w:r>
      <w:r w:rsidR="0091312C" w:rsidRPr="0022454E">
        <w:rPr>
          <w:rFonts w:ascii="Verdana" w:eastAsiaTheme="minorHAnsi" w:hAnsi="Verdana" w:cs="Arial"/>
          <w:sz w:val="22"/>
          <w:szCs w:val="22"/>
          <w:lang w:val="es-ES" w:eastAsia="en-US"/>
        </w:rPr>
        <w:t>tuvo</w:t>
      </w:r>
      <w:r w:rsidR="00C77849">
        <w:rPr>
          <w:rFonts w:ascii="Verdana" w:eastAsiaTheme="minorHAnsi" w:hAnsi="Verdana" w:cs="Arial"/>
          <w:sz w:val="22"/>
          <w:szCs w:val="22"/>
          <w:lang w:val="es-ES" w:eastAsia="en-US"/>
        </w:rPr>
        <w:t xml:space="preserve"> en cuenta </w:t>
      </w:r>
      <w:r w:rsidR="0091312C" w:rsidRPr="0022454E">
        <w:rPr>
          <w:rFonts w:ascii="Verdana" w:eastAsiaTheme="minorHAnsi" w:hAnsi="Verdana" w:cs="Arial"/>
          <w:sz w:val="22"/>
          <w:szCs w:val="22"/>
          <w:lang w:val="es-ES" w:eastAsia="en-US"/>
        </w:rPr>
        <w:t xml:space="preserve"> un elemento de análisis que corresponde a </w:t>
      </w:r>
      <w:r w:rsidR="003723DF" w:rsidRPr="0022454E">
        <w:rPr>
          <w:rFonts w:ascii="Verdana" w:eastAsiaTheme="minorHAnsi" w:hAnsi="Verdana" w:cs="Arial"/>
          <w:sz w:val="22"/>
          <w:szCs w:val="22"/>
          <w:lang w:val="es-ES" w:eastAsia="en-US"/>
        </w:rPr>
        <w:t xml:space="preserve">la perspectiva de los PRST, </w:t>
      </w:r>
      <w:r w:rsidR="00C77849">
        <w:rPr>
          <w:rFonts w:ascii="Verdana" w:eastAsiaTheme="minorHAnsi" w:hAnsi="Verdana" w:cs="Arial"/>
          <w:sz w:val="22"/>
          <w:szCs w:val="22"/>
          <w:lang w:val="es-ES" w:eastAsia="en-US"/>
        </w:rPr>
        <w:t>dejando de lado</w:t>
      </w:r>
      <w:r w:rsidR="0091312C" w:rsidRPr="0022454E">
        <w:rPr>
          <w:rFonts w:ascii="Verdana" w:eastAsiaTheme="minorHAnsi" w:hAnsi="Verdana" w:cs="Arial"/>
          <w:sz w:val="22"/>
          <w:szCs w:val="22"/>
          <w:lang w:val="es-ES" w:eastAsia="en-US"/>
        </w:rPr>
        <w:t xml:space="preserve"> a los </w:t>
      </w:r>
      <w:r w:rsidR="003723DF" w:rsidRPr="0022454E">
        <w:rPr>
          <w:rFonts w:ascii="Verdana" w:eastAsiaTheme="minorHAnsi" w:hAnsi="Verdana" w:cs="Arial"/>
          <w:sz w:val="22"/>
          <w:szCs w:val="22"/>
          <w:lang w:val="es-ES" w:eastAsia="en-US"/>
        </w:rPr>
        <w:t xml:space="preserve">actores de </w:t>
      </w:r>
      <w:proofErr w:type="spellStart"/>
      <w:r w:rsidR="003723DF" w:rsidRPr="0022454E">
        <w:rPr>
          <w:rFonts w:ascii="Verdana" w:eastAsiaTheme="minorHAnsi" w:hAnsi="Verdana" w:cs="Arial"/>
          <w:i/>
          <w:sz w:val="22"/>
          <w:szCs w:val="22"/>
          <w:lang w:val="es-ES" w:eastAsia="en-US"/>
        </w:rPr>
        <w:t>retail</w:t>
      </w:r>
      <w:proofErr w:type="spellEnd"/>
      <w:r w:rsidR="00CB2D51" w:rsidRPr="0022454E">
        <w:rPr>
          <w:rFonts w:ascii="Verdana" w:eastAsiaTheme="minorHAnsi" w:hAnsi="Verdana" w:cs="Arial"/>
          <w:sz w:val="22"/>
          <w:szCs w:val="22"/>
          <w:lang w:val="es-ES" w:eastAsia="en-US"/>
        </w:rPr>
        <w:t xml:space="preserve"> </w:t>
      </w:r>
      <w:r w:rsidR="009B4AAA" w:rsidRPr="0022454E">
        <w:rPr>
          <w:rFonts w:ascii="Verdana" w:eastAsiaTheme="minorHAnsi" w:hAnsi="Verdana" w:cs="Arial"/>
          <w:sz w:val="22"/>
          <w:szCs w:val="22"/>
          <w:lang w:val="es-ES" w:eastAsia="en-US"/>
        </w:rPr>
        <w:t>y</w:t>
      </w:r>
      <w:r w:rsidR="0091312C" w:rsidRPr="0022454E">
        <w:rPr>
          <w:rFonts w:ascii="Verdana" w:eastAsiaTheme="minorHAnsi" w:hAnsi="Verdana" w:cs="Arial"/>
          <w:sz w:val="22"/>
          <w:szCs w:val="22"/>
          <w:lang w:val="es-ES" w:eastAsia="en-US"/>
        </w:rPr>
        <w:t xml:space="preserve"> </w:t>
      </w:r>
      <w:r w:rsidR="00C77849">
        <w:rPr>
          <w:rFonts w:ascii="Verdana" w:eastAsiaTheme="minorHAnsi" w:hAnsi="Verdana" w:cs="Arial"/>
          <w:sz w:val="22"/>
          <w:szCs w:val="22"/>
          <w:lang w:val="es-ES" w:eastAsia="en-US"/>
        </w:rPr>
        <w:t xml:space="preserve">sin tener en cuenta </w:t>
      </w:r>
      <w:r w:rsidR="0091312C" w:rsidRPr="00194D56">
        <w:rPr>
          <w:rFonts w:ascii="Verdana" w:eastAsiaTheme="minorHAnsi" w:hAnsi="Verdana" w:cs="Arial"/>
          <w:sz w:val="22"/>
          <w:szCs w:val="22"/>
          <w:lang w:val="es-ES" w:eastAsia="en-US"/>
        </w:rPr>
        <w:t xml:space="preserve">el impacto que esta medida puede tener en el </w:t>
      </w:r>
      <w:r w:rsidR="009B4AAA" w:rsidRPr="00194D56">
        <w:rPr>
          <w:rFonts w:ascii="Verdana" w:eastAsiaTheme="minorHAnsi" w:hAnsi="Verdana" w:cs="Arial"/>
          <w:sz w:val="22"/>
          <w:szCs w:val="22"/>
          <w:lang w:val="es-ES" w:eastAsia="en-US"/>
        </w:rPr>
        <w:t>bienestar de</w:t>
      </w:r>
      <w:r w:rsidR="0091312C" w:rsidRPr="00194D56">
        <w:rPr>
          <w:rFonts w:ascii="Verdana" w:eastAsiaTheme="minorHAnsi" w:hAnsi="Verdana" w:cs="Arial"/>
          <w:sz w:val="22"/>
          <w:szCs w:val="22"/>
          <w:lang w:val="es-ES" w:eastAsia="en-US"/>
        </w:rPr>
        <w:t xml:space="preserve"> </w:t>
      </w:r>
      <w:r w:rsidR="009B4AAA" w:rsidRPr="00194D56">
        <w:rPr>
          <w:rFonts w:ascii="Verdana" w:eastAsiaTheme="minorHAnsi" w:hAnsi="Verdana" w:cs="Arial"/>
          <w:sz w:val="22"/>
          <w:szCs w:val="22"/>
          <w:lang w:val="es-ES" w:eastAsia="en-US"/>
        </w:rPr>
        <w:t>l</w:t>
      </w:r>
      <w:r w:rsidR="0091312C" w:rsidRPr="00194D56">
        <w:rPr>
          <w:rFonts w:ascii="Verdana" w:eastAsiaTheme="minorHAnsi" w:hAnsi="Verdana" w:cs="Arial"/>
          <w:sz w:val="22"/>
          <w:szCs w:val="22"/>
          <w:lang w:val="es-ES" w:eastAsia="en-US"/>
        </w:rPr>
        <w:t>os</w:t>
      </w:r>
      <w:r w:rsidR="009B4AAA" w:rsidRPr="00194D56">
        <w:rPr>
          <w:rFonts w:ascii="Verdana" w:eastAsiaTheme="minorHAnsi" w:hAnsi="Verdana" w:cs="Arial"/>
          <w:sz w:val="22"/>
          <w:szCs w:val="22"/>
          <w:lang w:val="es-ES" w:eastAsia="en-US"/>
        </w:rPr>
        <w:t xml:space="preserve"> usuario</w:t>
      </w:r>
      <w:r w:rsidR="0091312C" w:rsidRPr="00194D56">
        <w:rPr>
          <w:rFonts w:ascii="Verdana" w:eastAsiaTheme="minorHAnsi" w:hAnsi="Verdana" w:cs="Arial"/>
          <w:sz w:val="22"/>
          <w:szCs w:val="22"/>
          <w:lang w:val="es-ES" w:eastAsia="en-US"/>
        </w:rPr>
        <w:t>s</w:t>
      </w:r>
      <w:r w:rsidR="003723DF" w:rsidRPr="00194D56">
        <w:rPr>
          <w:rFonts w:ascii="Verdana" w:eastAsiaTheme="minorHAnsi" w:hAnsi="Verdana" w:cs="Arial"/>
          <w:sz w:val="22"/>
          <w:szCs w:val="22"/>
          <w:lang w:val="es-ES" w:eastAsia="en-US"/>
        </w:rPr>
        <w:t xml:space="preserve">. </w:t>
      </w:r>
    </w:p>
    <w:p w14:paraId="38744ECF" w14:textId="74E16F63" w:rsidR="003723DF" w:rsidRPr="00194D56" w:rsidRDefault="0091312C" w:rsidP="00686E32">
      <w:pPr>
        <w:pStyle w:val="NormalWeb"/>
        <w:shd w:val="clear" w:color="auto" w:fill="FFFFFF"/>
        <w:spacing w:before="0" w:beforeAutospacing="0" w:after="150" w:afterAutospacing="0" w:line="276" w:lineRule="auto"/>
        <w:ind w:left="360"/>
        <w:jc w:val="both"/>
        <w:rPr>
          <w:rFonts w:ascii="Verdana" w:eastAsiaTheme="minorHAnsi" w:hAnsi="Verdana" w:cs="Arial"/>
          <w:sz w:val="22"/>
          <w:szCs w:val="22"/>
          <w:lang w:val="es-ES" w:eastAsia="en-US"/>
        </w:rPr>
      </w:pPr>
      <w:r w:rsidRPr="00194D56">
        <w:rPr>
          <w:rFonts w:ascii="Verdana" w:eastAsiaTheme="minorHAnsi" w:hAnsi="Verdana" w:cs="Arial"/>
          <w:sz w:val="22"/>
          <w:szCs w:val="22"/>
          <w:lang w:val="es-ES" w:eastAsia="en-US"/>
        </w:rPr>
        <w:t>De acuerdo</w:t>
      </w:r>
      <w:r w:rsidR="00FD30E9" w:rsidRPr="00194D56">
        <w:rPr>
          <w:rFonts w:ascii="Verdana" w:eastAsiaTheme="minorHAnsi" w:hAnsi="Verdana" w:cs="Arial"/>
          <w:sz w:val="22"/>
          <w:szCs w:val="22"/>
          <w:lang w:val="es-ES" w:eastAsia="en-US"/>
        </w:rPr>
        <w:t xml:space="preserve"> </w:t>
      </w:r>
      <w:r w:rsidR="00C77849">
        <w:rPr>
          <w:rFonts w:ascii="Verdana" w:eastAsiaTheme="minorHAnsi" w:hAnsi="Verdana" w:cs="Arial"/>
          <w:sz w:val="22"/>
          <w:szCs w:val="22"/>
          <w:lang w:val="es-ES" w:eastAsia="en-US"/>
        </w:rPr>
        <w:t>con</w:t>
      </w:r>
      <w:r w:rsidR="00FD30E9" w:rsidRPr="00194D56">
        <w:rPr>
          <w:rFonts w:ascii="Verdana" w:eastAsiaTheme="minorHAnsi" w:hAnsi="Verdana" w:cs="Arial"/>
          <w:sz w:val="22"/>
          <w:szCs w:val="22"/>
          <w:lang w:val="es-ES" w:eastAsia="en-US"/>
        </w:rPr>
        <w:t xml:space="preserve"> la Guía Metodológica de Análisis de Impacto Normativo (DNP – OCDE, 2015), </w:t>
      </w:r>
      <w:r w:rsidR="003723DF" w:rsidRPr="00194D56">
        <w:rPr>
          <w:rFonts w:ascii="Verdana" w:eastAsiaTheme="minorHAnsi" w:hAnsi="Verdana" w:cs="Arial"/>
          <w:sz w:val="22"/>
          <w:szCs w:val="22"/>
          <w:lang w:val="es-ES" w:eastAsia="en-US"/>
        </w:rPr>
        <w:t xml:space="preserve">frente a </w:t>
      </w:r>
      <w:r w:rsidR="0075044F" w:rsidRPr="00194D56">
        <w:rPr>
          <w:rFonts w:ascii="Verdana" w:eastAsiaTheme="minorHAnsi" w:hAnsi="Verdana" w:cs="Arial"/>
          <w:sz w:val="22"/>
          <w:szCs w:val="22"/>
          <w:lang w:val="es-ES" w:eastAsia="en-US"/>
        </w:rPr>
        <w:t xml:space="preserve">la opción </w:t>
      </w:r>
      <w:r w:rsidR="008B50A5" w:rsidRPr="008B50A5">
        <w:rPr>
          <w:rFonts w:ascii="Verdana" w:eastAsiaTheme="minorHAnsi" w:hAnsi="Verdana" w:cs="Arial"/>
          <w:sz w:val="22"/>
          <w:szCs w:val="22"/>
          <w:lang w:val="es-ES" w:eastAsia="en-US"/>
        </w:rPr>
        <w:t>regulator</w:t>
      </w:r>
      <w:r w:rsidR="008B50A5">
        <w:rPr>
          <w:rFonts w:ascii="Verdana" w:eastAsiaTheme="minorHAnsi" w:hAnsi="Verdana" w:cs="Arial"/>
          <w:sz w:val="22"/>
          <w:szCs w:val="22"/>
          <w:lang w:val="es-ES" w:eastAsia="en-US"/>
        </w:rPr>
        <w:t>ia</w:t>
      </w:r>
      <w:r w:rsidR="0075044F" w:rsidRPr="00194D56">
        <w:rPr>
          <w:rFonts w:ascii="Verdana" w:eastAsiaTheme="minorHAnsi" w:hAnsi="Verdana" w:cs="Arial"/>
          <w:sz w:val="22"/>
          <w:szCs w:val="22"/>
          <w:lang w:val="es-ES" w:eastAsia="en-US"/>
        </w:rPr>
        <w:t xml:space="preserve"> de mantener el </w:t>
      </w:r>
      <w:r w:rsidR="0075044F" w:rsidRPr="00194D56">
        <w:rPr>
          <w:rFonts w:ascii="Verdana" w:eastAsiaTheme="minorHAnsi" w:hAnsi="Verdana" w:cs="Arial"/>
          <w:i/>
          <w:sz w:val="22"/>
          <w:szCs w:val="22"/>
          <w:lang w:val="es-ES" w:eastAsia="en-US"/>
        </w:rPr>
        <w:t>statu quo</w:t>
      </w:r>
      <w:r w:rsidR="00C77849">
        <w:rPr>
          <w:rFonts w:ascii="Verdana" w:eastAsiaTheme="minorHAnsi" w:hAnsi="Verdana" w:cs="Arial"/>
          <w:i/>
          <w:sz w:val="22"/>
          <w:szCs w:val="22"/>
          <w:lang w:val="es-ES" w:eastAsia="en-US"/>
        </w:rPr>
        <w:t>,</w:t>
      </w:r>
      <w:r w:rsidR="0075044F" w:rsidRPr="00194D56">
        <w:rPr>
          <w:rFonts w:ascii="Verdana" w:eastAsiaTheme="minorHAnsi" w:hAnsi="Verdana" w:cs="Arial"/>
          <w:sz w:val="22"/>
          <w:szCs w:val="22"/>
          <w:lang w:val="es-ES" w:eastAsia="en-US"/>
        </w:rPr>
        <w:t xml:space="preserve"> </w:t>
      </w:r>
      <w:r w:rsidR="003723DF" w:rsidRPr="00194D56">
        <w:rPr>
          <w:rFonts w:ascii="Verdana" w:eastAsiaTheme="minorHAnsi" w:hAnsi="Verdana" w:cs="Arial"/>
          <w:sz w:val="22"/>
          <w:szCs w:val="22"/>
          <w:lang w:val="es-ES" w:eastAsia="en-US"/>
        </w:rPr>
        <w:t>el regulador debe valorar lo siguiente:</w:t>
      </w:r>
    </w:p>
    <w:p w14:paraId="6100266D" w14:textId="77777777" w:rsidR="003723DF" w:rsidRPr="00194D56" w:rsidRDefault="003723DF" w:rsidP="00686E32">
      <w:pPr>
        <w:pStyle w:val="NormalWeb"/>
        <w:shd w:val="clear" w:color="auto" w:fill="FFFFFF"/>
        <w:spacing w:before="0" w:beforeAutospacing="0" w:after="150" w:afterAutospacing="0" w:line="276" w:lineRule="auto"/>
        <w:ind w:left="1416"/>
        <w:jc w:val="both"/>
        <w:rPr>
          <w:rFonts w:ascii="Verdana" w:eastAsiaTheme="minorHAnsi" w:hAnsi="Verdana" w:cs="Arial"/>
          <w:i/>
          <w:sz w:val="20"/>
          <w:szCs w:val="22"/>
          <w:lang w:val="es-ES" w:eastAsia="en-US"/>
        </w:rPr>
      </w:pPr>
      <w:r w:rsidRPr="00194D56">
        <w:rPr>
          <w:rFonts w:ascii="Verdana" w:eastAsiaTheme="minorHAnsi" w:hAnsi="Verdana" w:cs="Arial"/>
          <w:i/>
          <w:sz w:val="20"/>
          <w:szCs w:val="22"/>
          <w:lang w:val="es-ES" w:eastAsia="en-US"/>
        </w:rPr>
        <w:t>¿Qué sucedería si no se realizara ninguna intervención? ¿El problema se podría resolver por sí solo o a través de acciones promovidas por el propio mercado? ¿O la situación potencialmente empeoraría, volviéndose intolerable?</w:t>
      </w:r>
    </w:p>
    <w:p w14:paraId="5DCF0B86" w14:textId="77777777" w:rsidR="003723DF" w:rsidRPr="00194D56" w:rsidRDefault="003723DF" w:rsidP="00686E32">
      <w:pPr>
        <w:pStyle w:val="NormalWeb"/>
        <w:shd w:val="clear" w:color="auto" w:fill="FFFFFF"/>
        <w:spacing w:before="0" w:beforeAutospacing="0" w:after="150" w:afterAutospacing="0" w:line="276" w:lineRule="auto"/>
        <w:ind w:left="1416"/>
        <w:jc w:val="both"/>
        <w:rPr>
          <w:rFonts w:ascii="Verdana" w:eastAsiaTheme="minorHAnsi" w:hAnsi="Verdana" w:cs="Arial"/>
          <w:i/>
          <w:sz w:val="20"/>
          <w:szCs w:val="22"/>
          <w:lang w:val="es-ES" w:eastAsia="en-US"/>
        </w:rPr>
      </w:pPr>
      <w:r w:rsidRPr="00194D56">
        <w:rPr>
          <w:rFonts w:ascii="Verdana" w:eastAsiaTheme="minorHAnsi" w:hAnsi="Verdana" w:cs="Arial"/>
          <w:i/>
          <w:sz w:val="20"/>
          <w:szCs w:val="22"/>
          <w:lang w:val="es-ES" w:eastAsia="en-US"/>
        </w:rPr>
        <w:lastRenderedPageBreak/>
        <w:t>(…)</w:t>
      </w:r>
    </w:p>
    <w:p w14:paraId="6AF9EB0B" w14:textId="77777777" w:rsidR="00B63984" w:rsidRDefault="00FD30E9" w:rsidP="00686E32">
      <w:pPr>
        <w:pStyle w:val="NormalWeb"/>
        <w:shd w:val="clear" w:color="auto" w:fill="FFFFFF"/>
        <w:spacing w:before="0" w:beforeAutospacing="0" w:after="150" w:afterAutospacing="0" w:line="276" w:lineRule="auto"/>
        <w:ind w:left="1416"/>
        <w:jc w:val="both"/>
        <w:rPr>
          <w:rFonts w:ascii="Verdana" w:eastAsiaTheme="minorHAnsi" w:hAnsi="Verdana" w:cs="Arial"/>
          <w:i/>
          <w:sz w:val="20"/>
          <w:szCs w:val="22"/>
          <w:lang w:val="es-ES" w:eastAsia="en-US"/>
        </w:rPr>
      </w:pPr>
      <w:r w:rsidRPr="00194D56">
        <w:rPr>
          <w:rFonts w:ascii="Verdana" w:eastAsiaTheme="minorHAnsi" w:hAnsi="Verdana" w:cs="Arial"/>
          <w:i/>
          <w:sz w:val="20"/>
          <w:szCs w:val="22"/>
          <w:lang w:val="es-ES" w:eastAsia="en-US"/>
        </w:rPr>
        <w:t>La línea de base se establece analizando lo que sucedería si no hubiera intervención gubernamental adicional; se trata de entender qué pasaría si las cosas se mantienen como están siendo, pero tomando en cuenta que si hay una política o legislación en vigor se consideraría que ésta continúa y que actores potencialmente afectados pueden lanzar algún tipo de acción</w:t>
      </w:r>
    </w:p>
    <w:p w14:paraId="63EF76DA" w14:textId="77777777" w:rsidR="006B2B35" w:rsidRPr="006B2B35" w:rsidRDefault="006B2B35" w:rsidP="00686E32">
      <w:pPr>
        <w:pStyle w:val="NormalWeb"/>
        <w:shd w:val="clear" w:color="auto" w:fill="FFFFFF"/>
        <w:spacing w:before="0" w:beforeAutospacing="0" w:after="150" w:afterAutospacing="0" w:line="276" w:lineRule="auto"/>
        <w:ind w:left="1416"/>
        <w:jc w:val="both"/>
        <w:rPr>
          <w:rFonts w:ascii="Verdana" w:eastAsiaTheme="minorHAnsi" w:hAnsi="Verdana" w:cs="Arial"/>
          <w:i/>
          <w:sz w:val="20"/>
          <w:szCs w:val="22"/>
          <w:lang w:val="es-ES" w:eastAsia="en-US"/>
        </w:rPr>
      </w:pPr>
    </w:p>
    <w:p w14:paraId="10BAFD42" w14:textId="6961C372" w:rsidR="00B63984" w:rsidRPr="006B2B35" w:rsidRDefault="001D3E72" w:rsidP="00686E32">
      <w:pPr>
        <w:pStyle w:val="NormalWeb"/>
        <w:numPr>
          <w:ilvl w:val="0"/>
          <w:numId w:val="4"/>
        </w:numPr>
        <w:shd w:val="clear" w:color="auto" w:fill="FFFFFF"/>
        <w:spacing w:before="0" w:beforeAutospacing="0" w:after="150" w:afterAutospacing="0" w:line="276" w:lineRule="auto"/>
        <w:jc w:val="both"/>
        <w:rPr>
          <w:rFonts w:ascii="Verdana" w:eastAsiaTheme="minorHAnsi" w:hAnsi="Verdana" w:cs="Arial"/>
          <w:sz w:val="22"/>
          <w:szCs w:val="22"/>
          <w:lang w:val="es-ES" w:eastAsia="en-US"/>
        </w:rPr>
      </w:pPr>
      <w:r w:rsidRPr="006B2B35">
        <w:rPr>
          <w:rFonts w:ascii="Verdana" w:eastAsiaTheme="minorHAnsi" w:hAnsi="Verdana" w:cs="Arial"/>
          <w:sz w:val="22"/>
          <w:szCs w:val="22"/>
          <w:lang w:val="es-ES" w:eastAsia="en-US"/>
        </w:rPr>
        <w:t>Respecto de la alternativa 2:</w:t>
      </w:r>
      <w:r w:rsidR="00233226" w:rsidRPr="006B2B35">
        <w:rPr>
          <w:rFonts w:ascii="Verdana" w:eastAsiaTheme="minorHAnsi" w:hAnsi="Verdana" w:cs="Arial"/>
          <w:sz w:val="22"/>
          <w:szCs w:val="22"/>
          <w:lang w:val="es-ES" w:eastAsia="en-US"/>
        </w:rPr>
        <w:t xml:space="preserve"> </w:t>
      </w:r>
      <w:r w:rsidR="006B2B35">
        <w:rPr>
          <w:rFonts w:ascii="Verdana" w:eastAsiaTheme="minorHAnsi" w:hAnsi="Verdana" w:cs="Arial"/>
          <w:sz w:val="22"/>
          <w:szCs w:val="22"/>
          <w:lang w:val="es-ES" w:eastAsia="en-US"/>
        </w:rPr>
        <w:t>”P</w:t>
      </w:r>
      <w:r w:rsidR="00A16F72" w:rsidRPr="006B2B35">
        <w:rPr>
          <w:rFonts w:ascii="Verdana" w:eastAsiaTheme="minorHAnsi" w:hAnsi="Verdana" w:cs="Arial"/>
          <w:sz w:val="22"/>
          <w:szCs w:val="22"/>
          <w:lang w:val="es-ES" w:eastAsia="en-US"/>
        </w:rPr>
        <w:t>ermitir condicionamientos de entrada</w:t>
      </w:r>
      <w:r w:rsidR="006B2B35">
        <w:rPr>
          <w:rFonts w:ascii="Verdana" w:eastAsiaTheme="minorHAnsi" w:hAnsi="Verdana" w:cs="Arial"/>
          <w:sz w:val="22"/>
          <w:szCs w:val="22"/>
          <w:lang w:val="es-ES" w:eastAsia="en-US"/>
        </w:rPr>
        <w:t>”</w:t>
      </w:r>
    </w:p>
    <w:p w14:paraId="709294FB" w14:textId="13B66A98" w:rsidR="00A16F72" w:rsidRPr="006B2B35" w:rsidRDefault="00A16F72" w:rsidP="00686E32">
      <w:pPr>
        <w:pStyle w:val="NormalWeb"/>
        <w:shd w:val="clear" w:color="auto" w:fill="FFFFFF"/>
        <w:spacing w:after="150" w:line="276" w:lineRule="auto"/>
        <w:ind w:left="1416"/>
        <w:jc w:val="both"/>
        <w:rPr>
          <w:rFonts w:ascii="Verdana" w:eastAsiaTheme="minorHAnsi" w:hAnsi="Verdana" w:cs="Arial"/>
          <w:i/>
          <w:sz w:val="20"/>
          <w:szCs w:val="22"/>
          <w:lang w:val="es-ES" w:eastAsia="en-US"/>
        </w:rPr>
      </w:pPr>
      <w:r w:rsidRPr="006B2B35">
        <w:rPr>
          <w:rFonts w:ascii="Verdana" w:eastAsiaTheme="minorHAnsi" w:hAnsi="Verdana" w:cs="Arial"/>
          <w:i/>
          <w:sz w:val="20"/>
          <w:szCs w:val="22"/>
          <w:lang w:val="es-ES" w:eastAsia="en-US"/>
        </w:rPr>
        <w:t>5.3.2.2</w:t>
      </w:r>
      <w:r w:rsidR="00103451" w:rsidRPr="006B2B35">
        <w:rPr>
          <w:rFonts w:ascii="Verdana" w:eastAsiaTheme="minorHAnsi" w:hAnsi="Verdana" w:cs="Arial"/>
          <w:i/>
          <w:sz w:val="20"/>
          <w:szCs w:val="22"/>
          <w:lang w:val="es-ES" w:eastAsia="en-US"/>
        </w:rPr>
        <w:t xml:space="preserve"> </w:t>
      </w:r>
      <w:r w:rsidR="00103451" w:rsidRPr="006B2B35">
        <w:rPr>
          <w:rFonts w:ascii="Verdana" w:eastAsiaTheme="minorHAnsi" w:hAnsi="Verdana" w:cs="Arial"/>
          <w:sz w:val="20"/>
          <w:szCs w:val="22"/>
          <w:lang w:val="es-ES" w:eastAsia="en-US"/>
        </w:rPr>
        <w:t>[Criterio 2]</w:t>
      </w:r>
      <w:r w:rsidRPr="006B2B35">
        <w:rPr>
          <w:rFonts w:ascii="Verdana" w:eastAsiaTheme="minorHAnsi" w:hAnsi="Verdana" w:cs="Arial"/>
          <w:i/>
          <w:sz w:val="20"/>
          <w:szCs w:val="22"/>
          <w:lang w:val="es-ES" w:eastAsia="en-US"/>
        </w:rPr>
        <w:t xml:space="preserve"> Promoción de condiciones competitivas en la comercialización de ETM. </w:t>
      </w:r>
    </w:p>
    <w:p w14:paraId="426A5061" w14:textId="77777777" w:rsidR="00A16F72" w:rsidRPr="006B2B35" w:rsidRDefault="00A16F72" w:rsidP="00686E32">
      <w:pPr>
        <w:pStyle w:val="NormalWeb"/>
        <w:shd w:val="clear" w:color="auto" w:fill="FFFFFF"/>
        <w:spacing w:after="150" w:line="276" w:lineRule="auto"/>
        <w:ind w:left="1416"/>
        <w:jc w:val="both"/>
        <w:rPr>
          <w:rFonts w:ascii="Verdana" w:eastAsiaTheme="minorHAnsi" w:hAnsi="Verdana" w:cs="Arial"/>
          <w:i/>
          <w:sz w:val="20"/>
          <w:szCs w:val="22"/>
          <w:lang w:val="es-ES" w:eastAsia="en-US"/>
        </w:rPr>
      </w:pPr>
      <w:r w:rsidRPr="006B2B35">
        <w:rPr>
          <w:rFonts w:ascii="Verdana" w:eastAsiaTheme="minorHAnsi" w:hAnsi="Verdana" w:cs="Arial"/>
          <w:i/>
          <w:sz w:val="20"/>
          <w:szCs w:val="22"/>
          <w:lang w:val="es-ES" w:eastAsia="en-US"/>
        </w:rPr>
        <w:t>Permitir condicionamientos de entrada faculta a los operadores a ampliar su oferta comercial en función de estrategias que contengan tanto equipos terminales móviles como contratos de prestación de servicio, permitiéndoles llevar al mercado ofertas que equilibren las prácticas comerciales de unos y otros agentes, sin restricciones.</w:t>
      </w:r>
    </w:p>
    <w:p w14:paraId="039A61FF" w14:textId="77777777" w:rsidR="003723DF" w:rsidRPr="006B2B35" w:rsidRDefault="00A16F72" w:rsidP="00686E32">
      <w:pPr>
        <w:pStyle w:val="NormalWeb"/>
        <w:shd w:val="clear" w:color="auto" w:fill="FFFFFF"/>
        <w:spacing w:before="0" w:beforeAutospacing="0" w:after="150" w:afterAutospacing="0" w:line="276" w:lineRule="auto"/>
        <w:ind w:left="1416"/>
        <w:jc w:val="both"/>
        <w:rPr>
          <w:rFonts w:ascii="Verdana" w:eastAsiaTheme="minorHAnsi" w:hAnsi="Verdana" w:cs="Arial"/>
          <w:i/>
          <w:sz w:val="20"/>
          <w:szCs w:val="22"/>
          <w:lang w:val="es-ES" w:eastAsia="en-US"/>
        </w:rPr>
      </w:pPr>
      <w:r w:rsidRPr="006B2B35">
        <w:rPr>
          <w:rFonts w:ascii="Verdana" w:eastAsiaTheme="minorHAnsi" w:hAnsi="Verdana" w:cs="Arial"/>
          <w:i/>
          <w:sz w:val="20"/>
          <w:szCs w:val="22"/>
          <w:lang w:val="es-ES" w:eastAsia="en-US"/>
        </w:rPr>
        <w:t>Calificación: 3 puntos.</w:t>
      </w:r>
    </w:p>
    <w:p w14:paraId="3A445C82" w14:textId="5823FB32" w:rsidR="00013D25" w:rsidRPr="00194D56" w:rsidRDefault="0048592A" w:rsidP="00C77849">
      <w:pPr>
        <w:pStyle w:val="NormalWeb"/>
        <w:shd w:val="clear" w:color="auto" w:fill="FFFFFF"/>
        <w:spacing w:before="0" w:beforeAutospacing="0" w:after="150" w:afterAutospacing="0" w:line="276" w:lineRule="auto"/>
        <w:ind w:left="360"/>
        <w:jc w:val="both"/>
        <w:rPr>
          <w:rFonts w:ascii="Verdana" w:eastAsiaTheme="minorHAnsi" w:hAnsi="Verdana" w:cs="Arial"/>
          <w:sz w:val="22"/>
          <w:szCs w:val="22"/>
          <w:lang w:val="es-ES" w:eastAsia="en-US"/>
        </w:rPr>
      </w:pPr>
      <w:r w:rsidRPr="00194D56">
        <w:rPr>
          <w:rFonts w:ascii="Verdana" w:hAnsi="Verdana" w:cs="Arial"/>
          <w:sz w:val="22"/>
          <w:lang w:val="es-ES"/>
        </w:rPr>
        <w:t xml:space="preserve">Comentario 2: </w:t>
      </w:r>
      <w:r w:rsidR="006D6F80" w:rsidRPr="00194D56">
        <w:rPr>
          <w:rFonts w:ascii="Verdana" w:hAnsi="Verdana" w:cs="Arial"/>
          <w:sz w:val="22"/>
          <w:lang w:val="es-ES"/>
        </w:rPr>
        <w:t>N</w:t>
      </w:r>
      <w:r w:rsidR="00C77849" w:rsidRPr="00194D56">
        <w:rPr>
          <w:rFonts w:ascii="Verdana" w:hAnsi="Verdana" w:cs="Arial"/>
          <w:sz w:val="22"/>
          <w:lang w:val="es-ES"/>
        </w:rPr>
        <w:t>o son claros los motivos por los cuales es</w:t>
      </w:r>
      <w:r w:rsidR="00013D25" w:rsidRPr="00194D56">
        <w:rPr>
          <w:rFonts w:ascii="Verdana" w:hAnsi="Verdana" w:cs="Arial"/>
          <w:sz w:val="22"/>
          <w:lang w:val="es-ES"/>
        </w:rPr>
        <w:t xml:space="preserve"> necesario equilibrar las prácticas comerciales entre ambos tipos de oferentes de equipos, ni tampoco se hace evidente que los PRST necesiten que se excepcione la p</w:t>
      </w:r>
      <w:r w:rsidR="00013D25" w:rsidRPr="00194D56">
        <w:rPr>
          <w:rFonts w:ascii="Verdana" w:hAnsi="Verdana" w:cs="Arial"/>
          <w:sz w:val="22"/>
          <w:szCs w:val="22"/>
          <w:lang w:val="es-ES"/>
        </w:rPr>
        <w:t>rohibición de comercialización que les impuso la CRC.</w:t>
      </w:r>
      <w:r w:rsidR="00A27BBC" w:rsidRPr="00194D56">
        <w:rPr>
          <w:rFonts w:ascii="Verdana" w:hAnsi="Verdana" w:cs="Arial"/>
          <w:sz w:val="22"/>
          <w:szCs w:val="22"/>
          <w:lang w:val="es-ES"/>
        </w:rPr>
        <w:t xml:space="preserve"> </w:t>
      </w:r>
      <w:r w:rsidR="00233226" w:rsidRPr="00194D56">
        <w:rPr>
          <w:rFonts w:ascii="Verdana" w:eastAsiaTheme="minorHAnsi" w:hAnsi="Verdana" w:cs="Arial"/>
          <w:sz w:val="22"/>
          <w:szCs w:val="22"/>
          <w:lang w:val="es-ES" w:eastAsia="en-US"/>
        </w:rPr>
        <w:t xml:space="preserve">Igualmente, se sugiere revisar la </w:t>
      </w:r>
      <w:r w:rsidR="00AF0803" w:rsidRPr="00AF0803">
        <w:rPr>
          <w:rFonts w:ascii="Verdana" w:eastAsiaTheme="minorHAnsi" w:hAnsi="Verdana" w:cs="Arial"/>
          <w:sz w:val="22"/>
          <w:szCs w:val="22"/>
          <w:lang w:val="es-ES" w:eastAsia="en-US"/>
        </w:rPr>
        <w:t xml:space="preserve">Guía Metodológica </w:t>
      </w:r>
      <w:r w:rsidR="00233226" w:rsidRPr="00194D56">
        <w:rPr>
          <w:rFonts w:ascii="Verdana" w:eastAsiaTheme="minorHAnsi" w:hAnsi="Verdana" w:cs="Arial"/>
          <w:sz w:val="22"/>
          <w:szCs w:val="22"/>
          <w:lang w:val="es-ES" w:eastAsia="en-US"/>
        </w:rPr>
        <w:t xml:space="preserve">con </w:t>
      </w:r>
      <w:r w:rsidR="00A27BBC" w:rsidRPr="00194D56">
        <w:rPr>
          <w:rFonts w:ascii="Verdana" w:eastAsiaTheme="minorHAnsi" w:hAnsi="Verdana" w:cs="Arial"/>
          <w:sz w:val="22"/>
          <w:szCs w:val="22"/>
          <w:lang w:val="es-ES" w:eastAsia="en-US"/>
        </w:rPr>
        <w:t>los Informes de Monitoreo de la CRC</w:t>
      </w:r>
      <w:r w:rsidR="00233226" w:rsidRPr="00194D56">
        <w:rPr>
          <w:rFonts w:ascii="Verdana" w:eastAsiaTheme="minorHAnsi" w:hAnsi="Verdana" w:cs="Arial"/>
          <w:sz w:val="22"/>
          <w:szCs w:val="22"/>
          <w:lang w:val="es-ES" w:eastAsia="en-US"/>
        </w:rPr>
        <w:t xml:space="preserve"> respecto a los efectos que ha tenido la Resolución 4444 de 2014</w:t>
      </w:r>
      <w:r w:rsidR="00A27BBC" w:rsidRPr="00194D56">
        <w:rPr>
          <w:rFonts w:ascii="Verdana" w:eastAsiaTheme="minorHAnsi" w:hAnsi="Verdana" w:cs="Arial"/>
          <w:sz w:val="22"/>
          <w:szCs w:val="22"/>
          <w:lang w:val="es-ES" w:eastAsia="en-US"/>
        </w:rPr>
        <w:t>.</w:t>
      </w:r>
    </w:p>
    <w:p w14:paraId="6B9DACC2" w14:textId="6B686520" w:rsidR="00A27BBC" w:rsidRPr="00194D56" w:rsidRDefault="00082EF5" w:rsidP="00686E32">
      <w:pPr>
        <w:pStyle w:val="NormalWeb"/>
        <w:shd w:val="clear" w:color="auto" w:fill="FFFFFF"/>
        <w:spacing w:before="0" w:beforeAutospacing="0" w:after="150" w:afterAutospacing="0" w:line="276" w:lineRule="auto"/>
        <w:ind w:left="360"/>
        <w:jc w:val="both"/>
        <w:rPr>
          <w:rFonts w:ascii="Verdana" w:eastAsiaTheme="minorHAnsi" w:hAnsi="Verdana" w:cs="Arial"/>
          <w:sz w:val="22"/>
          <w:szCs w:val="22"/>
          <w:lang w:val="es-ES" w:eastAsia="en-US"/>
        </w:rPr>
      </w:pPr>
      <w:r w:rsidRPr="00194D56">
        <w:rPr>
          <w:rFonts w:ascii="Verdana" w:eastAsiaTheme="minorHAnsi" w:hAnsi="Verdana" w:cs="Arial"/>
          <w:sz w:val="22"/>
          <w:szCs w:val="22"/>
          <w:lang w:val="es-ES" w:eastAsia="en-US"/>
        </w:rPr>
        <w:t xml:space="preserve">Por lo anterior, </w:t>
      </w:r>
      <w:r w:rsidR="00C77849">
        <w:rPr>
          <w:rFonts w:ascii="Verdana" w:eastAsiaTheme="minorHAnsi" w:hAnsi="Verdana" w:cs="Arial"/>
          <w:sz w:val="22"/>
          <w:szCs w:val="22"/>
          <w:lang w:val="es-ES" w:eastAsia="en-US"/>
        </w:rPr>
        <w:t xml:space="preserve">se recomienda a </w:t>
      </w:r>
      <w:r w:rsidRPr="00194D56">
        <w:rPr>
          <w:rFonts w:ascii="Verdana" w:eastAsiaTheme="minorHAnsi" w:hAnsi="Verdana" w:cs="Arial"/>
          <w:sz w:val="22"/>
          <w:szCs w:val="22"/>
          <w:lang w:val="es-ES" w:eastAsia="en-US"/>
        </w:rPr>
        <w:t>la Comisión efectu</w:t>
      </w:r>
      <w:r w:rsidR="00C77849">
        <w:rPr>
          <w:rFonts w:ascii="Verdana" w:eastAsiaTheme="minorHAnsi" w:hAnsi="Verdana" w:cs="Arial"/>
          <w:sz w:val="22"/>
          <w:szCs w:val="22"/>
          <w:lang w:val="es-ES" w:eastAsia="en-US"/>
        </w:rPr>
        <w:t>ar</w:t>
      </w:r>
      <w:r w:rsidRPr="00AF0803">
        <w:rPr>
          <w:rFonts w:ascii="Verdana" w:eastAsiaTheme="minorHAnsi" w:hAnsi="Verdana" w:cs="Arial"/>
          <w:sz w:val="22"/>
          <w:szCs w:val="22"/>
          <w:lang w:val="es-ES" w:eastAsia="en-US"/>
        </w:rPr>
        <w:t xml:space="preserve"> </w:t>
      </w:r>
      <w:r w:rsidRPr="00194D56">
        <w:rPr>
          <w:rFonts w:ascii="Verdana" w:eastAsiaTheme="minorHAnsi" w:hAnsi="Verdana" w:cs="Arial"/>
          <w:sz w:val="22"/>
          <w:szCs w:val="22"/>
          <w:lang w:val="es-ES" w:eastAsia="en-US"/>
        </w:rPr>
        <w:t xml:space="preserve">una revisión </w:t>
      </w:r>
      <w:r w:rsidR="00AF0803">
        <w:rPr>
          <w:rFonts w:ascii="Verdana" w:eastAsiaTheme="minorHAnsi" w:hAnsi="Verdana" w:cs="Arial"/>
          <w:sz w:val="22"/>
          <w:szCs w:val="22"/>
          <w:lang w:val="es-ES" w:eastAsia="en-US"/>
        </w:rPr>
        <w:t>de</w:t>
      </w:r>
      <w:r w:rsidR="00AF0803" w:rsidRPr="00AF0803">
        <w:rPr>
          <w:rFonts w:ascii="Verdana" w:eastAsiaTheme="minorHAnsi" w:hAnsi="Verdana" w:cs="Arial"/>
          <w:sz w:val="22"/>
          <w:szCs w:val="22"/>
          <w:lang w:val="es-ES" w:eastAsia="en-US"/>
        </w:rPr>
        <w:t xml:space="preserve"> </w:t>
      </w:r>
      <w:r w:rsidR="00112388" w:rsidRPr="00194D56">
        <w:rPr>
          <w:rFonts w:ascii="Verdana" w:eastAsiaTheme="minorHAnsi" w:hAnsi="Verdana" w:cs="Arial"/>
          <w:sz w:val="22"/>
          <w:szCs w:val="22"/>
          <w:lang w:val="es-ES" w:eastAsia="en-US"/>
        </w:rPr>
        <w:t>los puntajes asignados a las primeras dos alternativas frente a</w:t>
      </w:r>
      <w:r w:rsidR="00725727" w:rsidRPr="00194D56">
        <w:rPr>
          <w:rFonts w:ascii="Verdana" w:eastAsiaTheme="minorHAnsi" w:hAnsi="Verdana" w:cs="Arial"/>
          <w:sz w:val="22"/>
          <w:szCs w:val="22"/>
          <w:lang w:val="es-ES" w:eastAsia="en-US"/>
        </w:rPr>
        <w:t xml:space="preserve">l </w:t>
      </w:r>
      <w:r w:rsidR="00725727" w:rsidRPr="00AF0803">
        <w:rPr>
          <w:rFonts w:ascii="Verdana" w:eastAsiaTheme="minorHAnsi" w:hAnsi="Verdana" w:cs="Arial"/>
          <w:sz w:val="22"/>
          <w:szCs w:val="22"/>
          <w:lang w:eastAsia="en-US"/>
        </w:rPr>
        <w:t>criterio 2</w:t>
      </w:r>
      <w:r w:rsidR="00103451" w:rsidRPr="00AF0803">
        <w:rPr>
          <w:rFonts w:ascii="Verdana" w:eastAsiaTheme="minorHAnsi" w:hAnsi="Verdana" w:cs="Arial"/>
          <w:sz w:val="22"/>
          <w:szCs w:val="22"/>
          <w:lang w:eastAsia="en-US"/>
        </w:rPr>
        <w:t xml:space="preserve"> </w:t>
      </w:r>
      <w:r w:rsidR="00103451" w:rsidRPr="00194D56">
        <w:rPr>
          <w:rFonts w:ascii="Verdana" w:eastAsiaTheme="minorHAnsi" w:hAnsi="Verdana" w:cs="Arial"/>
          <w:sz w:val="22"/>
          <w:szCs w:val="22"/>
          <w:lang w:val="es-ES" w:eastAsia="en-US"/>
        </w:rPr>
        <w:t>(Promoción de condiciones competitivas en la comercialización de ETM</w:t>
      </w:r>
      <w:r w:rsidRPr="00194D56">
        <w:rPr>
          <w:rFonts w:ascii="Verdana" w:eastAsiaTheme="minorHAnsi" w:hAnsi="Verdana" w:cs="Arial"/>
          <w:sz w:val="22"/>
          <w:szCs w:val="22"/>
          <w:lang w:val="es-ES" w:eastAsia="en-US"/>
        </w:rPr>
        <w:t xml:space="preserve">). Dicha revisión puede incidir en la calificación final y en la alternativa </w:t>
      </w:r>
      <w:r w:rsidRPr="00AF0803">
        <w:rPr>
          <w:rFonts w:ascii="Verdana" w:eastAsiaTheme="minorHAnsi" w:hAnsi="Verdana" w:cs="Arial"/>
          <w:sz w:val="22"/>
          <w:szCs w:val="22"/>
          <w:lang w:eastAsia="en-US"/>
        </w:rPr>
        <w:t>regulatoria</w:t>
      </w:r>
      <w:r w:rsidRPr="00194D56">
        <w:rPr>
          <w:rFonts w:ascii="Verdana" w:eastAsiaTheme="minorHAnsi" w:hAnsi="Verdana" w:cs="Arial"/>
          <w:sz w:val="22"/>
          <w:szCs w:val="22"/>
          <w:lang w:val="es-ES" w:eastAsia="en-US"/>
        </w:rPr>
        <w:t xml:space="preserve"> que considere la Comisión</w:t>
      </w:r>
      <w:r w:rsidR="00AF0803">
        <w:rPr>
          <w:rFonts w:ascii="Verdana" w:eastAsiaTheme="minorHAnsi" w:hAnsi="Verdana" w:cs="Arial"/>
          <w:sz w:val="22"/>
          <w:szCs w:val="22"/>
          <w:lang w:val="es-ES" w:eastAsia="en-US"/>
        </w:rPr>
        <w:t xml:space="preserve"> debe implementarse</w:t>
      </w:r>
      <w:r w:rsidRPr="00194D56">
        <w:rPr>
          <w:rFonts w:ascii="Verdana" w:eastAsiaTheme="minorHAnsi" w:hAnsi="Verdana" w:cs="Arial"/>
          <w:sz w:val="22"/>
          <w:szCs w:val="22"/>
          <w:lang w:val="es-ES" w:eastAsia="en-US"/>
        </w:rPr>
        <w:t>.</w:t>
      </w:r>
      <w:r w:rsidR="00103451" w:rsidRPr="00194D56">
        <w:rPr>
          <w:rFonts w:ascii="Verdana" w:eastAsiaTheme="minorHAnsi" w:hAnsi="Verdana" w:cs="Arial"/>
          <w:sz w:val="22"/>
          <w:szCs w:val="22"/>
          <w:lang w:val="es-ES" w:eastAsia="en-US"/>
        </w:rPr>
        <w:t xml:space="preserve"> </w:t>
      </w:r>
    </w:p>
    <w:p w14:paraId="1AF97DE6" w14:textId="77688CEB" w:rsidR="00C85E7C" w:rsidRPr="00194D56" w:rsidRDefault="00AF0803" w:rsidP="004F2826">
      <w:pPr>
        <w:pStyle w:val="NormalWeb"/>
        <w:numPr>
          <w:ilvl w:val="0"/>
          <w:numId w:val="2"/>
        </w:numPr>
        <w:shd w:val="clear" w:color="auto" w:fill="FFFFFF"/>
        <w:spacing w:before="0" w:beforeAutospacing="0" w:after="150" w:afterAutospacing="0" w:line="276" w:lineRule="auto"/>
        <w:jc w:val="both"/>
        <w:rPr>
          <w:rFonts w:ascii="Verdana" w:eastAsiaTheme="minorHAnsi" w:hAnsi="Verdana" w:cs="Arial"/>
          <w:sz w:val="22"/>
          <w:szCs w:val="22"/>
          <w:lang w:val="es-ES" w:eastAsia="en-US"/>
        </w:rPr>
      </w:pPr>
      <w:r>
        <w:rPr>
          <w:rFonts w:ascii="Verdana" w:eastAsiaTheme="minorHAnsi" w:hAnsi="Verdana" w:cs="Arial"/>
          <w:sz w:val="22"/>
          <w:szCs w:val="22"/>
          <w:lang w:val="es-ES" w:eastAsia="en-US"/>
        </w:rPr>
        <w:t xml:space="preserve">  T</w:t>
      </w:r>
      <w:r w:rsidR="00C77849">
        <w:rPr>
          <w:rFonts w:ascii="Verdana" w:eastAsiaTheme="minorHAnsi" w:hAnsi="Verdana" w:cs="Arial"/>
          <w:sz w:val="22"/>
          <w:szCs w:val="22"/>
          <w:lang w:val="es-ES" w:eastAsia="en-US"/>
        </w:rPr>
        <w:t>ambién se sugiere la revisión de</w:t>
      </w:r>
      <w:r w:rsidR="00082EF5" w:rsidRPr="00AF0803">
        <w:rPr>
          <w:rFonts w:ascii="Verdana" w:eastAsiaTheme="minorHAnsi" w:hAnsi="Verdana" w:cs="Arial"/>
          <w:sz w:val="22"/>
          <w:szCs w:val="22"/>
          <w:lang w:val="es-ES" w:eastAsia="en-US"/>
        </w:rPr>
        <w:t xml:space="preserve"> </w:t>
      </w:r>
      <w:r w:rsidR="00082EF5" w:rsidRPr="00194D56">
        <w:rPr>
          <w:rFonts w:ascii="Verdana" w:eastAsiaTheme="minorHAnsi" w:hAnsi="Verdana" w:cs="Arial"/>
          <w:sz w:val="22"/>
          <w:szCs w:val="22"/>
          <w:lang w:val="es-ES" w:eastAsia="en-US"/>
        </w:rPr>
        <w:t>todos los elementos tenidos en cuenta</w:t>
      </w:r>
      <w:r w:rsidR="00C77849">
        <w:rPr>
          <w:rFonts w:ascii="Verdana" w:eastAsiaTheme="minorHAnsi" w:hAnsi="Verdana" w:cs="Arial"/>
          <w:sz w:val="22"/>
          <w:szCs w:val="22"/>
          <w:lang w:val="es-ES" w:eastAsia="en-US"/>
        </w:rPr>
        <w:t xml:space="preserve"> por</w:t>
      </w:r>
      <w:r w:rsidR="00082EF5" w:rsidRPr="00194D56">
        <w:rPr>
          <w:rFonts w:ascii="Verdana" w:eastAsiaTheme="minorHAnsi" w:hAnsi="Verdana" w:cs="Arial"/>
          <w:sz w:val="22"/>
          <w:szCs w:val="22"/>
          <w:lang w:val="es-ES" w:eastAsia="en-US"/>
        </w:rPr>
        <w:t xml:space="preserve"> la Comisión para la propuesta que somete a consideración del sector, </w:t>
      </w:r>
      <w:r w:rsidR="004A296F" w:rsidRPr="00194D56">
        <w:rPr>
          <w:rFonts w:ascii="Verdana" w:eastAsiaTheme="minorHAnsi" w:hAnsi="Verdana" w:cs="Arial"/>
          <w:sz w:val="22"/>
          <w:szCs w:val="22"/>
          <w:lang w:val="es-ES" w:eastAsia="en-US"/>
        </w:rPr>
        <w:t xml:space="preserve">y el fundamento de la </w:t>
      </w:r>
      <w:r w:rsidR="004F2826" w:rsidRPr="00194D56">
        <w:rPr>
          <w:rFonts w:ascii="Verdana" w:eastAsiaTheme="minorHAnsi" w:hAnsi="Verdana" w:cs="Arial"/>
          <w:b/>
          <w:i/>
          <w:sz w:val="22"/>
          <w:szCs w:val="22"/>
          <w:lang w:val="es-ES" w:eastAsia="en-US"/>
        </w:rPr>
        <w:t>excepción a</w:t>
      </w:r>
      <w:r w:rsidR="00E35245" w:rsidRPr="00194D56">
        <w:rPr>
          <w:rFonts w:ascii="Verdana" w:eastAsiaTheme="minorHAnsi" w:hAnsi="Verdana" w:cs="Arial"/>
          <w:b/>
          <w:i/>
          <w:sz w:val="22"/>
          <w:szCs w:val="22"/>
          <w:lang w:val="es-ES" w:eastAsia="en-US"/>
        </w:rPr>
        <w:t>l condicionamiento de la celebración del contrato de prestación d</w:t>
      </w:r>
      <w:r w:rsidR="004F2826" w:rsidRPr="00194D56">
        <w:rPr>
          <w:rFonts w:ascii="Verdana" w:eastAsiaTheme="minorHAnsi" w:hAnsi="Verdana" w:cs="Arial"/>
          <w:b/>
          <w:i/>
          <w:sz w:val="22"/>
          <w:szCs w:val="22"/>
          <w:lang w:val="es-ES" w:eastAsia="en-US"/>
        </w:rPr>
        <w:t>e servicio a la venta de un ETM</w:t>
      </w:r>
      <w:r w:rsidR="00082EF5" w:rsidRPr="00194D56">
        <w:rPr>
          <w:lang w:val="es-ES"/>
        </w:rPr>
        <w:t>,</w:t>
      </w:r>
      <w:r w:rsidR="004A296F" w:rsidRPr="00194D56">
        <w:rPr>
          <w:rFonts w:ascii="Verdana" w:eastAsiaTheme="minorHAnsi" w:hAnsi="Verdana" w:cs="Arial"/>
          <w:sz w:val="22"/>
          <w:szCs w:val="22"/>
          <w:lang w:val="es-ES" w:eastAsia="en-US"/>
        </w:rPr>
        <w:t xml:space="preserve"> cuya finalidad es la de </w:t>
      </w:r>
      <w:r w:rsidR="00E35245" w:rsidRPr="00194D56">
        <w:rPr>
          <w:rFonts w:ascii="Verdana" w:eastAsiaTheme="minorHAnsi" w:hAnsi="Verdana" w:cs="Arial"/>
          <w:sz w:val="22"/>
          <w:szCs w:val="22"/>
          <w:lang w:val="es-ES" w:eastAsia="en-US"/>
        </w:rPr>
        <w:t>incrementar la p</w:t>
      </w:r>
      <w:r w:rsidR="004A296F" w:rsidRPr="00194D56">
        <w:rPr>
          <w:rFonts w:ascii="Verdana" w:eastAsiaTheme="minorHAnsi" w:hAnsi="Verdana" w:cs="Arial"/>
          <w:sz w:val="22"/>
          <w:szCs w:val="22"/>
          <w:lang w:val="es-ES" w:eastAsia="en-US"/>
        </w:rPr>
        <w:t>enetración de Internet móvil.</w:t>
      </w:r>
    </w:p>
    <w:p w14:paraId="705F97ED" w14:textId="7A5E5C03" w:rsidR="004F2826" w:rsidRPr="00194D56" w:rsidRDefault="004F2826" w:rsidP="004A296F">
      <w:pPr>
        <w:pStyle w:val="NormalWeb"/>
        <w:numPr>
          <w:ilvl w:val="0"/>
          <w:numId w:val="2"/>
        </w:numPr>
        <w:shd w:val="clear" w:color="auto" w:fill="FFFFFF"/>
        <w:spacing w:before="0" w:beforeAutospacing="0" w:after="150" w:afterAutospacing="0" w:line="276" w:lineRule="auto"/>
        <w:jc w:val="both"/>
        <w:rPr>
          <w:rFonts w:ascii="Verdana" w:eastAsiaTheme="minorHAnsi" w:hAnsi="Verdana" w:cs="Arial"/>
          <w:sz w:val="22"/>
          <w:szCs w:val="22"/>
          <w:lang w:val="es-ES" w:eastAsia="en-US"/>
        </w:rPr>
      </w:pPr>
      <w:r w:rsidRPr="00194D56">
        <w:rPr>
          <w:rFonts w:ascii="Verdana" w:eastAsiaTheme="minorHAnsi" w:hAnsi="Verdana" w:cs="Arial"/>
          <w:sz w:val="22"/>
          <w:szCs w:val="22"/>
          <w:lang w:val="es-ES" w:eastAsia="en-US"/>
        </w:rPr>
        <w:t xml:space="preserve"> </w:t>
      </w:r>
      <w:r w:rsidR="008B10FA" w:rsidRPr="00194D56">
        <w:rPr>
          <w:rFonts w:ascii="Verdana" w:eastAsiaTheme="minorHAnsi" w:hAnsi="Verdana" w:cs="Arial"/>
          <w:sz w:val="22"/>
          <w:szCs w:val="22"/>
          <w:lang w:val="es-ES" w:eastAsia="en-US"/>
        </w:rPr>
        <w:t>Igualmente,</w:t>
      </w:r>
      <w:r w:rsidR="004A296F" w:rsidRPr="00194D56">
        <w:rPr>
          <w:rFonts w:ascii="Verdana" w:eastAsiaTheme="minorHAnsi" w:hAnsi="Verdana" w:cs="Arial"/>
          <w:sz w:val="22"/>
          <w:szCs w:val="22"/>
          <w:lang w:val="es-ES" w:eastAsia="en-US"/>
        </w:rPr>
        <w:t xml:space="preserve"> </w:t>
      </w:r>
      <w:r w:rsidR="001E6C88">
        <w:rPr>
          <w:rFonts w:ascii="Verdana" w:eastAsiaTheme="minorHAnsi" w:hAnsi="Verdana" w:cs="Arial"/>
          <w:sz w:val="22"/>
          <w:szCs w:val="22"/>
          <w:lang w:val="es-ES" w:eastAsia="en-US"/>
        </w:rPr>
        <w:t>se sugiere</w:t>
      </w:r>
      <w:r w:rsidR="00136641">
        <w:rPr>
          <w:rFonts w:ascii="Verdana" w:eastAsiaTheme="minorHAnsi" w:hAnsi="Verdana" w:cs="Arial"/>
          <w:sz w:val="22"/>
          <w:szCs w:val="22"/>
          <w:lang w:val="es-ES" w:eastAsia="en-US"/>
        </w:rPr>
        <w:t xml:space="preserve"> que</w:t>
      </w:r>
      <w:r w:rsidR="001E6C88">
        <w:rPr>
          <w:rFonts w:ascii="Verdana" w:eastAsiaTheme="minorHAnsi" w:hAnsi="Verdana" w:cs="Arial"/>
          <w:sz w:val="22"/>
          <w:szCs w:val="22"/>
          <w:lang w:val="es-ES" w:eastAsia="en-US"/>
        </w:rPr>
        <w:t xml:space="preserve"> se tengan en cuenta </w:t>
      </w:r>
      <w:r w:rsidR="00136641">
        <w:rPr>
          <w:rFonts w:ascii="Verdana" w:eastAsiaTheme="minorHAnsi" w:hAnsi="Verdana" w:cs="Arial"/>
          <w:sz w:val="22"/>
          <w:szCs w:val="22"/>
          <w:lang w:val="es-ES" w:eastAsia="en-US"/>
        </w:rPr>
        <w:t xml:space="preserve">tanto </w:t>
      </w:r>
      <w:r w:rsidR="004A296F" w:rsidRPr="00136641">
        <w:rPr>
          <w:rFonts w:ascii="Verdana" w:eastAsiaTheme="minorHAnsi" w:hAnsi="Verdana" w:cs="Arial"/>
          <w:sz w:val="22"/>
          <w:szCs w:val="22"/>
          <w:lang w:val="es-ES" w:eastAsia="en-US"/>
        </w:rPr>
        <w:t>las opiniones de los agentes que comerciali</w:t>
      </w:r>
      <w:r w:rsidR="00136641">
        <w:rPr>
          <w:rFonts w:ascii="Verdana" w:eastAsiaTheme="minorHAnsi" w:hAnsi="Verdana" w:cs="Arial"/>
          <w:sz w:val="22"/>
          <w:szCs w:val="22"/>
          <w:lang w:val="es-ES" w:eastAsia="en-US"/>
        </w:rPr>
        <w:t>zan</w:t>
      </w:r>
      <w:r w:rsidR="004A296F" w:rsidRPr="00136641">
        <w:rPr>
          <w:rFonts w:ascii="Verdana" w:eastAsiaTheme="minorHAnsi" w:hAnsi="Verdana" w:cs="Arial"/>
          <w:sz w:val="22"/>
          <w:szCs w:val="22"/>
          <w:lang w:val="es-ES" w:eastAsia="en-US"/>
        </w:rPr>
        <w:t xml:space="preserve"> equipos terminales móviles, </w:t>
      </w:r>
      <w:r w:rsidR="00136641">
        <w:rPr>
          <w:rFonts w:ascii="Verdana" w:eastAsiaTheme="minorHAnsi" w:hAnsi="Verdana" w:cs="Arial"/>
          <w:sz w:val="22"/>
          <w:szCs w:val="22"/>
          <w:lang w:val="es-ES" w:eastAsia="en-US"/>
        </w:rPr>
        <w:t>como</w:t>
      </w:r>
      <w:r w:rsidR="004A296F" w:rsidRPr="00136641">
        <w:rPr>
          <w:rFonts w:ascii="Verdana" w:eastAsiaTheme="minorHAnsi" w:hAnsi="Verdana" w:cs="Arial"/>
          <w:sz w:val="22"/>
          <w:szCs w:val="22"/>
          <w:lang w:val="es-ES" w:eastAsia="en-US"/>
        </w:rPr>
        <w:t xml:space="preserve"> </w:t>
      </w:r>
      <w:r w:rsidR="004A296F" w:rsidRPr="00194D56">
        <w:rPr>
          <w:rFonts w:ascii="Verdana" w:eastAsiaTheme="minorHAnsi" w:hAnsi="Verdana" w:cs="Arial"/>
          <w:sz w:val="22"/>
          <w:szCs w:val="22"/>
          <w:lang w:val="es-ES" w:eastAsia="en-US"/>
        </w:rPr>
        <w:t xml:space="preserve">las propuestas </w:t>
      </w:r>
      <w:r w:rsidR="00F32119" w:rsidRPr="00194D56">
        <w:rPr>
          <w:rFonts w:ascii="Verdana" w:eastAsiaTheme="minorHAnsi" w:hAnsi="Verdana" w:cs="Arial"/>
          <w:sz w:val="22"/>
          <w:szCs w:val="22"/>
          <w:lang w:val="es-ES" w:eastAsia="en-US"/>
        </w:rPr>
        <w:t>de los ope</w:t>
      </w:r>
      <w:r w:rsidR="004A296F" w:rsidRPr="00194D56">
        <w:rPr>
          <w:rFonts w:ascii="Verdana" w:eastAsiaTheme="minorHAnsi" w:hAnsi="Verdana" w:cs="Arial"/>
          <w:sz w:val="22"/>
          <w:szCs w:val="22"/>
          <w:lang w:val="es-ES" w:eastAsia="en-US"/>
        </w:rPr>
        <w:t xml:space="preserve">radores tradicionales. La posibilidad de contar con las valoraciones, sugerencias y apreciaciones </w:t>
      </w:r>
      <w:r w:rsidR="00973653">
        <w:rPr>
          <w:rFonts w:ascii="Verdana" w:eastAsiaTheme="minorHAnsi" w:hAnsi="Verdana" w:cs="Arial"/>
          <w:sz w:val="22"/>
          <w:szCs w:val="22"/>
          <w:lang w:val="es-ES" w:eastAsia="en-US"/>
        </w:rPr>
        <w:t>de todas las partes interesadas puede</w:t>
      </w:r>
      <w:r w:rsidR="00973653" w:rsidRPr="00973653">
        <w:rPr>
          <w:rFonts w:ascii="Verdana" w:eastAsiaTheme="minorHAnsi" w:hAnsi="Verdana" w:cs="Arial"/>
          <w:sz w:val="22"/>
          <w:szCs w:val="22"/>
          <w:lang w:val="es-ES" w:eastAsia="en-US"/>
        </w:rPr>
        <w:t xml:space="preserve"> </w:t>
      </w:r>
      <w:r w:rsidR="004A296F" w:rsidRPr="00194D56">
        <w:rPr>
          <w:rFonts w:ascii="Verdana" w:eastAsiaTheme="minorHAnsi" w:hAnsi="Verdana" w:cs="Arial"/>
          <w:sz w:val="22"/>
          <w:szCs w:val="22"/>
          <w:lang w:val="es-ES" w:eastAsia="en-US"/>
        </w:rPr>
        <w:t>arrojar</w:t>
      </w:r>
      <w:r w:rsidR="008B10FA" w:rsidRPr="00194D56">
        <w:rPr>
          <w:rFonts w:ascii="Verdana" w:eastAsiaTheme="minorHAnsi" w:hAnsi="Verdana" w:cs="Arial"/>
          <w:sz w:val="22"/>
          <w:szCs w:val="22"/>
          <w:lang w:val="es-ES" w:eastAsia="en-US"/>
        </w:rPr>
        <w:t xml:space="preserve"> otras perspectivas y posibles soluciones sobre el problema presentado.</w:t>
      </w:r>
    </w:p>
    <w:p w14:paraId="1E5441DB" w14:textId="72EC23E2" w:rsidR="00C32D51" w:rsidRPr="00194D56" w:rsidRDefault="004F2826" w:rsidP="009A0864">
      <w:pPr>
        <w:pStyle w:val="NormalWeb"/>
        <w:numPr>
          <w:ilvl w:val="0"/>
          <w:numId w:val="2"/>
        </w:numPr>
        <w:shd w:val="clear" w:color="auto" w:fill="FFFFFF"/>
        <w:spacing w:before="0" w:beforeAutospacing="0" w:after="150" w:afterAutospacing="0" w:line="276" w:lineRule="auto"/>
        <w:jc w:val="both"/>
        <w:rPr>
          <w:rFonts w:ascii="Verdana" w:eastAsiaTheme="minorHAnsi" w:hAnsi="Verdana" w:cs="Arial"/>
          <w:sz w:val="22"/>
          <w:szCs w:val="22"/>
          <w:lang w:val="es-ES" w:eastAsia="en-US"/>
        </w:rPr>
      </w:pPr>
      <w:r w:rsidRPr="00194D56">
        <w:rPr>
          <w:rFonts w:ascii="Verdana" w:eastAsiaTheme="minorHAnsi" w:hAnsi="Verdana" w:cs="Arial"/>
          <w:sz w:val="22"/>
          <w:szCs w:val="22"/>
          <w:lang w:val="es-ES" w:eastAsia="en-US"/>
        </w:rPr>
        <w:lastRenderedPageBreak/>
        <w:t xml:space="preserve"> </w:t>
      </w:r>
      <w:r w:rsidR="009A0864" w:rsidRPr="00194D56">
        <w:rPr>
          <w:rFonts w:ascii="Verdana" w:eastAsiaTheme="minorHAnsi" w:hAnsi="Verdana" w:cs="Arial"/>
          <w:sz w:val="22"/>
          <w:szCs w:val="22"/>
          <w:lang w:val="es-ES" w:eastAsia="en-US"/>
        </w:rPr>
        <w:t>Fi</w:t>
      </w:r>
      <w:r w:rsidR="005D1021" w:rsidRPr="00194D56">
        <w:rPr>
          <w:rFonts w:ascii="Verdana" w:eastAsiaTheme="minorHAnsi" w:hAnsi="Verdana" w:cs="Arial"/>
          <w:sz w:val="22"/>
          <w:szCs w:val="22"/>
          <w:lang w:val="es-ES" w:eastAsia="en-US"/>
        </w:rPr>
        <w:t xml:space="preserve">nalmente, </w:t>
      </w:r>
      <w:r w:rsidR="001E6C88">
        <w:rPr>
          <w:rFonts w:ascii="Verdana" w:eastAsiaTheme="minorHAnsi" w:hAnsi="Verdana" w:cs="Arial"/>
          <w:sz w:val="22"/>
          <w:szCs w:val="22"/>
          <w:lang w:val="es-ES" w:eastAsia="en-US"/>
        </w:rPr>
        <w:t>manifestamos</w:t>
      </w:r>
      <w:r w:rsidR="001E6C88" w:rsidRPr="00311B98">
        <w:rPr>
          <w:rFonts w:ascii="Verdana" w:eastAsiaTheme="minorHAnsi" w:hAnsi="Verdana" w:cs="Arial"/>
          <w:sz w:val="22"/>
          <w:szCs w:val="22"/>
          <w:lang w:val="es-ES" w:eastAsia="en-US"/>
        </w:rPr>
        <w:t xml:space="preserve"> </w:t>
      </w:r>
      <w:r w:rsidR="005D1021" w:rsidRPr="00194D56">
        <w:rPr>
          <w:rFonts w:ascii="Verdana" w:eastAsiaTheme="minorHAnsi" w:hAnsi="Verdana" w:cs="Arial"/>
          <w:sz w:val="22"/>
          <w:szCs w:val="22"/>
          <w:lang w:val="es-ES" w:eastAsia="en-US"/>
        </w:rPr>
        <w:t>nuestras observaciones</w:t>
      </w:r>
      <w:r w:rsidR="009A0864" w:rsidRPr="00194D56">
        <w:rPr>
          <w:rFonts w:ascii="Verdana" w:eastAsiaTheme="minorHAnsi" w:hAnsi="Verdana" w:cs="Arial"/>
          <w:sz w:val="22"/>
          <w:szCs w:val="22"/>
          <w:lang w:val="es-ES" w:eastAsia="en-US"/>
        </w:rPr>
        <w:t xml:space="preserve"> sobre </w:t>
      </w:r>
      <w:r w:rsidR="00C32D51" w:rsidRPr="00194D56">
        <w:rPr>
          <w:rFonts w:ascii="Verdana" w:eastAsiaTheme="minorHAnsi" w:hAnsi="Verdana" w:cs="Arial"/>
          <w:sz w:val="22"/>
          <w:szCs w:val="22"/>
          <w:lang w:val="es-ES" w:eastAsia="en-US"/>
        </w:rPr>
        <w:t>el proyecto de</w:t>
      </w:r>
      <w:r w:rsidR="009A0864" w:rsidRPr="00194D56">
        <w:rPr>
          <w:rFonts w:ascii="Verdana" w:eastAsiaTheme="minorHAnsi" w:hAnsi="Verdana" w:cs="Arial"/>
          <w:sz w:val="22"/>
          <w:szCs w:val="22"/>
          <w:lang w:val="es-ES" w:eastAsia="en-US"/>
        </w:rPr>
        <w:t xml:space="preserve"> resolución. </w:t>
      </w:r>
    </w:p>
    <w:p w14:paraId="216F319F" w14:textId="176CB8A1" w:rsidR="009A0864" w:rsidRPr="00194D56" w:rsidRDefault="009A0864" w:rsidP="00C32D51">
      <w:pPr>
        <w:pStyle w:val="NormalWeb"/>
        <w:shd w:val="clear" w:color="auto" w:fill="FFFFFF"/>
        <w:spacing w:before="0" w:beforeAutospacing="0" w:after="150" w:afterAutospacing="0" w:line="276" w:lineRule="auto"/>
        <w:ind w:left="360"/>
        <w:jc w:val="both"/>
        <w:rPr>
          <w:rFonts w:ascii="Verdana" w:eastAsiaTheme="minorHAnsi" w:hAnsi="Verdana" w:cs="Arial"/>
          <w:sz w:val="22"/>
          <w:szCs w:val="22"/>
          <w:lang w:val="es-ES" w:eastAsia="en-US"/>
        </w:rPr>
      </w:pPr>
      <w:r w:rsidRPr="00194D56">
        <w:rPr>
          <w:rFonts w:ascii="Verdana" w:eastAsiaTheme="minorHAnsi" w:hAnsi="Verdana" w:cs="Arial"/>
          <w:sz w:val="22"/>
          <w:szCs w:val="22"/>
          <w:lang w:val="es-ES" w:eastAsia="en-US"/>
        </w:rPr>
        <w:t>Particularmente, consideramos que</w:t>
      </w:r>
      <w:r w:rsidR="001E6C88">
        <w:rPr>
          <w:rFonts w:ascii="Verdana" w:eastAsiaTheme="minorHAnsi" w:hAnsi="Verdana" w:cs="Arial"/>
          <w:sz w:val="22"/>
          <w:szCs w:val="22"/>
          <w:lang w:val="es-ES" w:eastAsia="en-US"/>
        </w:rPr>
        <w:t xml:space="preserve"> </w:t>
      </w:r>
      <w:r w:rsidR="001E6C88" w:rsidRPr="00CB5410">
        <w:rPr>
          <w:rFonts w:ascii="Verdana" w:eastAsiaTheme="minorHAnsi" w:hAnsi="Verdana" w:cs="Arial"/>
          <w:sz w:val="22"/>
          <w:szCs w:val="22"/>
          <w:lang w:val="es-ES" w:eastAsia="en-US"/>
        </w:rPr>
        <w:t xml:space="preserve">la redacción propuesta </w:t>
      </w:r>
      <w:r w:rsidR="001E6C88">
        <w:rPr>
          <w:rFonts w:ascii="Verdana" w:eastAsiaTheme="minorHAnsi" w:hAnsi="Verdana" w:cs="Arial"/>
          <w:sz w:val="22"/>
          <w:szCs w:val="22"/>
          <w:lang w:val="es-ES" w:eastAsia="en-US"/>
        </w:rPr>
        <w:t xml:space="preserve">en lo relacionado </w:t>
      </w:r>
      <w:r w:rsidR="00311B98">
        <w:rPr>
          <w:rFonts w:ascii="Verdana" w:eastAsiaTheme="minorHAnsi" w:hAnsi="Verdana" w:cs="Arial"/>
          <w:sz w:val="22"/>
          <w:szCs w:val="22"/>
          <w:lang w:val="es-ES" w:eastAsia="en-US"/>
        </w:rPr>
        <w:t>a</w:t>
      </w:r>
      <w:r w:rsidR="001E6C88">
        <w:rPr>
          <w:rFonts w:ascii="Verdana" w:eastAsiaTheme="minorHAnsi" w:hAnsi="Verdana" w:cs="Arial"/>
          <w:sz w:val="22"/>
          <w:szCs w:val="22"/>
          <w:lang w:val="es-ES" w:eastAsia="en-US"/>
        </w:rPr>
        <w:t xml:space="preserve"> </w:t>
      </w:r>
      <w:r w:rsidR="001E6C88" w:rsidRPr="00CB5410">
        <w:rPr>
          <w:rFonts w:ascii="Verdana" w:eastAsiaTheme="minorHAnsi" w:hAnsi="Verdana" w:cs="Arial"/>
          <w:sz w:val="22"/>
          <w:szCs w:val="22"/>
          <w:lang w:val="es-ES" w:eastAsia="en-US"/>
        </w:rPr>
        <w:t>la excepción bajo la cual los PRST pueden llegar a condicionar la celebración del contrato de prestación de servicios a la venta de equipos terminales móviles</w:t>
      </w:r>
      <w:r w:rsidR="001E6C88">
        <w:rPr>
          <w:rFonts w:ascii="Verdana" w:eastAsiaTheme="minorHAnsi" w:hAnsi="Verdana" w:cs="Arial"/>
          <w:sz w:val="22"/>
          <w:szCs w:val="22"/>
          <w:lang w:val="es-ES" w:eastAsia="en-US"/>
        </w:rPr>
        <w:t xml:space="preserve"> de tecnología 4G o superior</w:t>
      </w:r>
      <w:r w:rsidR="00311B98">
        <w:rPr>
          <w:rFonts w:ascii="Verdana" w:eastAsiaTheme="minorHAnsi" w:hAnsi="Verdana" w:cs="Arial"/>
          <w:sz w:val="22"/>
          <w:szCs w:val="22"/>
          <w:lang w:val="es-ES" w:eastAsia="en-US"/>
        </w:rPr>
        <w:t>,</w:t>
      </w:r>
      <w:r w:rsidR="001E6C88">
        <w:rPr>
          <w:rFonts w:ascii="Verdana" w:eastAsiaTheme="minorHAnsi" w:hAnsi="Verdana" w:cs="Arial"/>
          <w:sz w:val="22"/>
          <w:szCs w:val="22"/>
          <w:lang w:val="es-ES" w:eastAsia="en-US"/>
        </w:rPr>
        <w:t xml:space="preserve"> es muy general</w:t>
      </w:r>
      <w:r w:rsidR="001E6C88" w:rsidRPr="00CB5410">
        <w:rPr>
          <w:rFonts w:ascii="Verdana" w:eastAsiaTheme="minorHAnsi" w:hAnsi="Verdana" w:cs="Arial"/>
          <w:sz w:val="22"/>
          <w:szCs w:val="22"/>
          <w:lang w:val="es-ES" w:eastAsia="en-US"/>
        </w:rPr>
        <w:t xml:space="preserve"> y no garantiza la protección de los derechos de los consumidores, a pesar de la inclusión de la frase “</w:t>
      </w:r>
      <w:r w:rsidR="001E6C88" w:rsidRPr="00CB5410">
        <w:rPr>
          <w:rFonts w:ascii="Verdana" w:eastAsiaTheme="minorHAnsi" w:hAnsi="Verdana" w:cs="Arial"/>
          <w:i/>
          <w:sz w:val="22"/>
          <w:szCs w:val="22"/>
          <w:lang w:val="es-ES" w:eastAsia="en-US"/>
        </w:rPr>
        <w:t>sin embargo, estos condicionamientos no pueden de ninguna manera limitar la libre elección del usuario</w:t>
      </w:r>
      <w:r w:rsidR="001E6C88">
        <w:rPr>
          <w:rFonts w:ascii="Verdana" w:eastAsiaTheme="minorHAnsi" w:hAnsi="Verdana" w:cs="Arial"/>
          <w:sz w:val="22"/>
          <w:szCs w:val="22"/>
          <w:lang w:val="es-ES" w:eastAsia="en-US"/>
        </w:rPr>
        <w:t xml:space="preserve">”. </w:t>
      </w:r>
      <w:r w:rsidR="00A31625" w:rsidRPr="00194D56">
        <w:rPr>
          <w:rFonts w:ascii="Verdana" w:eastAsiaTheme="minorHAnsi" w:hAnsi="Verdana" w:cs="Arial"/>
          <w:sz w:val="22"/>
          <w:szCs w:val="22"/>
          <w:lang w:val="es-ES" w:eastAsia="en-US"/>
        </w:rPr>
        <w:t xml:space="preserve">Por lo tanto, </w:t>
      </w:r>
      <w:r w:rsidR="001E6C88">
        <w:rPr>
          <w:rFonts w:ascii="Verdana" w:eastAsiaTheme="minorHAnsi" w:hAnsi="Verdana" w:cs="Arial"/>
          <w:sz w:val="22"/>
          <w:szCs w:val="22"/>
          <w:lang w:val="es-ES" w:eastAsia="en-US"/>
        </w:rPr>
        <w:t xml:space="preserve">lo ideal sería que </w:t>
      </w:r>
      <w:r w:rsidR="00A31625" w:rsidRPr="00194D56">
        <w:rPr>
          <w:rFonts w:ascii="Verdana" w:eastAsiaTheme="minorHAnsi" w:hAnsi="Verdana" w:cs="Arial"/>
          <w:sz w:val="22"/>
          <w:szCs w:val="22"/>
          <w:lang w:val="es-ES" w:eastAsia="en-US"/>
        </w:rPr>
        <w:t xml:space="preserve">estos condicionamientos </w:t>
      </w:r>
      <w:r w:rsidR="001E6C88">
        <w:rPr>
          <w:rFonts w:ascii="Verdana" w:eastAsiaTheme="minorHAnsi" w:hAnsi="Verdana" w:cs="Arial"/>
          <w:sz w:val="22"/>
          <w:szCs w:val="22"/>
          <w:lang w:val="es-ES" w:eastAsia="en-US"/>
        </w:rPr>
        <w:t>sean</w:t>
      </w:r>
      <w:r w:rsidR="00A31625" w:rsidRPr="00194D56">
        <w:rPr>
          <w:rFonts w:ascii="Verdana" w:eastAsiaTheme="minorHAnsi" w:hAnsi="Verdana" w:cs="Arial"/>
          <w:sz w:val="22"/>
          <w:szCs w:val="22"/>
          <w:lang w:val="es-ES" w:eastAsia="en-US"/>
        </w:rPr>
        <w:t xml:space="preserve"> restringidos a ciertas posibilidades, por ejemplo, </w:t>
      </w:r>
      <w:r w:rsidR="00926269" w:rsidRPr="00194D56">
        <w:rPr>
          <w:rFonts w:ascii="Verdana" w:eastAsiaTheme="minorHAnsi" w:hAnsi="Verdana" w:cs="Arial"/>
          <w:sz w:val="22"/>
          <w:szCs w:val="22"/>
          <w:lang w:val="es-ES" w:eastAsia="en-US"/>
        </w:rPr>
        <w:t>solo a</w:t>
      </w:r>
      <w:r w:rsidR="00A31625" w:rsidRPr="00194D56">
        <w:rPr>
          <w:rFonts w:ascii="Verdana" w:eastAsiaTheme="minorHAnsi" w:hAnsi="Verdana" w:cs="Arial"/>
          <w:sz w:val="22"/>
          <w:szCs w:val="22"/>
          <w:lang w:val="es-ES" w:eastAsia="en-US"/>
        </w:rPr>
        <w:t xml:space="preserve">l </w:t>
      </w:r>
      <w:r w:rsidR="00311B98">
        <w:rPr>
          <w:rFonts w:ascii="Verdana" w:eastAsiaTheme="minorHAnsi" w:hAnsi="Verdana" w:cs="Arial"/>
          <w:sz w:val="22"/>
          <w:szCs w:val="22"/>
          <w:lang w:val="es-ES" w:eastAsia="en-US"/>
        </w:rPr>
        <w:t>ofrecimiento</w:t>
      </w:r>
      <w:r w:rsidR="00311B98" w:rsidRPr="00311B98">
        <w:rPr>
          <w:rFonts w:ascii="Verdana" w:eastAsiaTheme="minorHAnsi" w:hAnsi="Verdana" w:cs="Arial"/>
          <w:sz w:val="22"/>
          <w:szCs w:val="22"/>
          <w:lang w:val="es-ES" w:eastAsia="en-US"/>
        </w:rPr>
        <w:t xml:space="preserve"> </w:t>
      </w:r>
      <w:r w:rsidR="00A31625" w:rsidRPr="00194D56">
        <w:rPr>
          <w:rFonts w:ascii="Verdana" w:eastAsiaTheme="minorHAnsi" w:hAnsi="Verdana" w:cs="Arial"/>
          <w:sz w:val="22"/>
          <w:szCs w:val="22"/>
          <w:lang w:val="es-ES" w:eastAsia="en-US"/>
        </w:rPr>
        <w:t>de descuentos.</w:t>
      </w:r>
    </w:p>
    <w:p w14:paraId="41CF6A0B" w14:textId="33B101BE" w:rsidR="00926269" w:rsidRPr="00194D56" w:rsidRDefault="00926269" w:rsidP="00C32D51">
      <w:pPr>
        <w:pStyle w:val="NormalWeb"/>
        <w:shd w:val="clear" w:color="auto" w:fill="FFFFFF"/>
        <w:spacing w:before="0" w:beforeAutospacing="0" w:after="150" w:afterAutospacing="0" w:line="276" w:lineRule="auto"/>
        <w:ind w:left="360"/>
        <w:jc w:val="both"/>
        <w:rPr>
          <w:rFonts w:ascii="Verdana" w:eastAsiaTheme="minorHAnsi" w:hAnsi="Verdana" w:cs="Arial"/>
          <w:sz w:val="22"/>
          <w:szCs w:val="22"/>
          <w:lang w:val="es-ES" w:eastAsia="en-US"/>
        </w:rPr>
      </w:pPr>
      <w:r w:rsidRPr="00194D56">
        <w:rPr>
          <w:rFonts w:ascii="Verdana" w:eastAsiaTheme="minorHAnsi" w:hAnsi="Verdana" w:cs="Arial"/>
          <w:sz w:val="22"/>
          <w:szCs w:val="22"/>
          <w:lang w:val="es-ES" w:eastAsia="en-US"/>
        </w:rPr>
        <w:t>De otro lado, manifestamos nuestra preocupación de que</w:t>
      </w:r>
      <w:r w:rsidR="001E6C88">
        <w:rPr>
          <w:rFonts w:ascii="Verdana" w:eastAsiaTheme="minorHAnsi" w:hAnsi="Verdana" w:cs="Arial"/>
          <w:sz w:val="22"/>
          <w:szCs w:val="22"/>
          <w:lang w:val="es-ES" w:eastAsia="en-US"/>
        </w:rPr>
        <w:t>,</w:t>
      </w:r>
      <w:r w:rsidRPr="00194D56">
        <w:rPr>
          <w:rFonts w:ascii="Verdana" w:eastAsiaTheme="minorHAnsi" w:hAnsi="Verdana" w:cs="Arial"/>
          <w:sz w:val="22"/>
          <w:szCs w:val="22"/>
          <w:lang w:val="es-ES" w:eastAsia="en-US"/>
        </w:rPr>
        <w:t xml:space="preserve"> con la ya señalada indeterminación en la redacción de la norma, se esté ante </w:t>
      </w:r>
      <w:r w:rsidR="001E6C88">
        <w:rPr>
          <w:rFonts w:ascii="Verdana" w:eastAsiaTheme="minorHAnsi" w:hAnsi="Verdana" w:cs="Arial"/>
          <w:sz w:val="22"/>
          <w:szCs w:val="22"/>
          <w:lang w:val="es-ES" w:eastAsia="en-US"/>
        </w:rPr>
        <w:t xml:space="preserve">el riesgo de </w:t>
      </w:r>
      <w:r w:rsidRPr="00194D56">
        <w:rPr>
          <w:rFonts w:ascii="Verdana" w:eastAsiaTheme="minorHAnsi" w:hAnsi="Verdana" w:cs="Arial"/>
          <w:sz w:val="22"/>
          <w:szCs w:val="22"/>
          <w:lang w:val="es-ES" w:eastAsia="en-US"/>
        </w:rPr>
        <w:t xml:space="preserve">una </w:t>
      </w:r>
      <w:r w:rsidRPr="00194D56">
        <w:rPr>
          <w:rFonts w:ascii="Verdana" w:eastAsiaTheme="minorHAnsi" w:hAnsi="Verdana" w:cs="Arial"/>
          <w:i/>
          <w:sz w:val="22"/>
          <w:szCs w:val="22"/>
          <w:lang w:val="es-ES" w:eastAsia="en-US"/>
        </w:rPr>
        <w:t>venta atada</w:t>
      </w:r>
      <w:r w:rsidRPr="00194D56">
        <w:rPr>
          <w:rFonts w:ascii="Verdana" w:eastAsiaTheme="minorHAnsi" w:hAnsi="Verdana" w:cs="Arial"/>
          <w:sz w:val="22"/>
          <w:szCs w:val="22"/>
          <w:lang w:val="es-ES" w:eastAsia="en-US"/>
        </w:rPr>
        <w:t>.</w:t>
      </w:r>
      <w:r w:rsidR="003B7233" w:rsidRPr="00194D56">
        <w:rPr>
          <w:rFonts w:ascii="Verdana" w:eastAsiaTheme="minorHAnsi" w:hAnsi="Verdana" w:cs="Arial"/>
          <w:sz w:val="22"/>
          <w:szCs w:val="22"/>
          <w:lang w:val="es-ES" w:eastAsia="en-US"/>
        </w:rPr>
        <w:t xml:space="preserve"> Conforme al artículo 36 del Estatuto del Consumidor,</w:t>
      </w:r>
      <w:r w:rsidR="00A71D7C" w:rsidRPr="00194D56">
        <w:rPr>
          <w:rFonts w:ascii="Verdana" w:eastAsiaTheme="minorHAnsi" w:hAnsi="Verdana" w:cs="Arial"/>
          <w:sz w:val="22"/>
          <w:szCs w:val="22"/>
          <w:lang w:val="es-ES" w:eastAsia="en-US"/>
        </w:rPr>
        <w:t xml:space="preserve"> esta práctica prohibida consiste en</w:t>
      </w:r>
      <w:r w:rsidR="003B7233" w:rsidRPr="00194D56">
        <w:rPr>
          <w:rFonts w:ascii="Verdana" w:eastAsiaTheme="minorHAnsi" w:hAnsi="Verdana" w:cs="Arial"/>
          <w:sz w:val="22"/>
          <w:szCs w:val="22"/>
          <w:lang w:val="es-ES" w:eastAsia="en-US"/>
        </w:rPr>
        <w:t>:</w:t>
      </w:r>
    </w:p>
    <w:p w14:paraId="4D23F433" w14:textId="77777777" w:rsidR="003B7233" w:rsidRPr="00194D56" w:rsidRDefault="003B7233" w:rsidP="003B7233">
      <w:pPr>
        <w:pStyle w:val="NormalWeb"/>
        <w:shd w:val="clear" w:color="auto" w:fill="FFFFFF"/>
        <w:spacing w:before="0" w:beforeAutospacing="0" w:after="150" w:afterAutospacing="0" w:line="276" w:lineRule="auto"/>
        <w:ind w:left="1416"/>
        <w:jc w:val="both"/>
        <w:rPr>
          <w:rFonts w:ascii="Verdana" w:eastAsiaTheme="minorHAnsi" w:hAnsi="Verdana" w:cs="Arial"/>
          <w:i/>
          <w:sz w:val="20"/>
          <w:szCs w:val="22"/>
          <w:lang w:val="es-ES" w:eastAsia="en-US"/>
        </w:rPr>
      </w:pPr>
      <w:r w:rsidRPr="00194D56">
        <w:rPr>
          <w:rFonts w:ascii="Verdana" w:eastAsiaTheme="minorHAnsi" w:hAnsi="Verdana" w:cs="Arial"/>
          <w:i/>
          <w:sz w:val="20"/>
          <w:szCs w:val="22"/>
          <w:lang w:val="es-ES" w:eastAsia="en-US"/>
        </w:rPr>
        <w:t xml:space="preserve">Artículo 36. Prohibición de ventas atadas. Sin perjuicio de las demás normas sobre la materia, para efectos de la presente ley no se podrá </w:t>
      </w:r>
      <w:r w:rsidRPr="00194D56">
        <w:rPr>
          <w:rFonts w:ascii="Verdana" w:eastAsiaTheme="minorHAnsi" w:hAnsi="Verdana" w:cs="Arial"/>
          <w:b/>
          <w:i/>
          <w:sz w:val="20"/>
          <w:szCs w:val="22"/>
          <w:lang w:val="es-ES" w:eastAsia="en-US"/>
        </w:rPr>
        <w:t>condicionar la adquisición de un producto a la adquisición de otros.</w:t>
      </w:r>
      <w:r w:rsidRPr="00194D56">
        <w:rPr>
          <w:rFonts w:ascii="Verdana" w:eastAsiaTheme="minorHAnsi" w:hAnsi="Verdana" w:cs="Arial"/>
          <w:i/>
          <w:sz w:val="20"/>
          <w:szCs w:val="22"/>
          <w:lang w:val="es-ES" w:eastAsia="en-US"/>
        </w:rPr>
        <w:t xml:space="preserve"> Tampoco se podrá, condicionar el recibo de un incentivo o premio a la aceptación de un término contractual. </w:t>
      </w:r>
      <w:r w:rsidRPr="00194D56">
        <w:rPr>
          <w:rFonts w:ascii="Verdana" w:eastAsiaTheme="minorHAnsi" w:hAnsi="Verdana" w:cs="Arial"/>
          <w:sz w:val="20"/>
          <w:szCs w:val="22"/>
          <w:lang w:val="es-ES" w:eastAsia="en-US"/>
        </w:rPr>
        <w:t>[Negrilla fuera de texto]</w:t>
      </w:r>
    </w:p>
    <w:p w14:paraId="775C17F3" w14:textId="2B79D1DD" w:rsidR="00C32D51" w:rsidRPr="00194D56" w:rsidRDefault="00A71D7C" w:rsidP="00C32D51">
      <w:pPr>
        <w:pStyle w:val="NormalWeb"/>
        <w:shd w:val="clear" w:color="auto" w:fill="FFFFFF"/>
        <w:spacing w:before="0" w:beforeAutospacing="0" w:after="150" w:afterAutospacing="0" w:line="276" w:lineRule="auto"/>
        <w:ind w:left="360"/>
        <w:jc w:val="both"/>
        <w:rPr>
          <w:rFonts w:ascii="Verdana" w:eastAsiaTheme="minorHAnsi" w:hAnsi="Verdana" w:cs="Arial"/>
          <w:sz w:val="22"/>
          <w:szCs w:val="22"/>
          <w:lang w:val="es-ES" w:eastAsia="en-US"/>
        </w:rPr>
      </w:pPr>
      <w:r w:rsidRPr="00194D56">
        <w:rPr>
          <w:rFonts w:ascii="Verdana" w:eastAsiaTheme="minorHAnsi" w:hAnsi="Verdana" w:cs="Arial"/>
          <w:sz w:val="22"/>
          <w:szCs w:val="22"/>
          <w:lang w:val="es-ES" w:eastAsia="en-US"/>
        </w:rPr>
        <w:t xml:space="preserve">Por lo tanto, a pesar de que los equipos y el servicio puedan ser adquiridos de manera separada, </w:t>
      </w:r>
      <w:r w:rsidR="0084279F" w:rsidRPr="00194D56">
        <w:rPr>
          <w:rFonts w:ascii="Verdana" w:eastAsiaTheme="minorHAnsi" w:hAnsi="Verdana" w:cs="Arial"/>
          <w:sz w:val="22"/>
          <w:szCs w:val="22"/>
          <w:lang w:val="es-ES" w:eastAsia="en-US"/>
        </w:rPr>
        <w:t xml:space="preserve">es probable que los usuarios se dirijan a contratar conjuntamente los anteriores, debido a </w:t>
      </w:r>
      <w:r w:rsidRPr="00194D56">
        <w:rPr>
          <w:rFonts w:ascii="Verdana" w:eastAsiaTheme="minorHAnsi" w:hAnsi="Verdana" w:cs="Arial"/>
          <w:sz w:val="22"/>
          <w:szCs w:val="22"/>
          <w:lang w:val="es-ES" w:eastAsia="en-US"/>
        </w:rPr>
        <w:t xml:space="preserve">las condiciones </w:t>
      </w:r>
      <w:r w:rsidR="00576567" w:rsidRPr="00194D56">
        <w:rPr>
          <w:rFonts w:ascii="Verdana" w:eastAsiaTheme="minorHAnsi" w:hAnsi="Verdana" w:cs="Arial"/>
          <w:sz w:val="22"/>
          <w:szCs w:val="22"/>
          <w:lang w:val="es-ES" w:eastAsia="en-US"/>
        </w:rPr>
        <w:t xml:space="preserve">atractivas </w:t>
      </w:r>
      <w:r w:rsidR="003F5316" w:rsidRPr="003F5316">
        <w:rPr>
          <w:rFonts w:ascii="Verdana" w:eastAsiaTheme="minorHAnsi" w:hAnsi="Verdana" w:cs="Arial"/>
          <w:sz w:val="22"/>
          <w:szCs w:val="22"/>
          <w:lang w:val="es-ES" w:eastAsia="en-US"/>
        </w:rPr>
        <w:t xml:space="preserve">de </w:t>
      </w:r>
      <w:r w:rsidR="003F5316" w:rsidRPr="00920C1A">
        <w:rPr>
          <w:rFonts w:ascii="Verdana" w:eastAsiaTheme="minorHAnsi" w:hAnsi="Verdana" w:cs="Arial"/>
          <w:sz w:val="22"/>
          <w:szCs w:val="22"/>
          <w:lang w:val="es-ES" w:eastAsia="en-US"/>
        </w:rPr>
        <w:t>mercadeo</w:t>
      </w:r>
      <w:r w:rsidR="00576567" w:rsidRPr="003F5316">
        <w:rPr>
          <w:rFonts w:ascii="Verdana" w:eastAsiaTheme="minorHAnsi" w:hAnsi="Verdana" w:cs="Arial"/>
          <w:sz w:val="22"/>
          <w:szCs w:val="22"/>
          <w:lang w:val="es-ES" w:eastAsia="en-US"/>
        </w:rPr>
        <w:t>—</w:t>
      </w:r>
      <w:r w:rsidR="004A476B">
        <w:rPr>
          <w:rFonts w:ascii="Verdana" w:eastAsiaTheme="minorHAnsi" w:hAnsi="Verdana" w:cs="Arial"/>
          <w:sz w:val="22"/>
          <w:szCs w:val="22"/>
          <w:lang w:val="es-ES" w:eastAsia="en-US"/>
        </w:rPr>
        <w:t xml:space="preserve">que </w:t>
      </w:r>
      <w:r w:rsidR="003F5316">
        <w:rPr>
          <w:rFonts w:ascii="Verdana" w:eastAsiaTheme="minorHAnsi" w:hAnsi="Verdana" w:cs="Arial"/>
          <w:sz w:val="22"/>
          <w:szCs w:val="22"/>
          <w:lang w:val="es-ES" w:eastAsia="en-US"/>
        </w:rPr>
        <w:t xml:space="preserve">incluso </w:t>
      </w:r>
      <w:r w:rsidR="004A476B">
        <w:rPr>
          <w:rFonts w:ascii="Verdana" w:eastAsiaTheme="minorHAnsi" w:hAnsi="Verdana" w:cs="Arial"/>
          <w:sz w:val="22"/>
          <w:szCs w:val="22"/>
          <w:lang w:val="es-ES" w:eastAsia="en-US"/>
        </w:rPr>
        <w:t xml:space="preserve">pueden llegar a ser </w:t>
      </w:r>
      <w:r w:rsidR="00576567" w:rsidRPr="003F5316">
        <w:rPr>
          <w:rFonts w:ascii="Verdana" w:eastAsiaTheme="minorHAnsi" w:hAnsi="Verdana" w:cs="Arial"/>
          <w:sz w:val="22"/>
          <w:szCs w:val="22"/>
          <w:lang w:val="es-ES" w:eastAsia="en-US"/>
        </w:rPr>
        <w:t>agresivas—</w:t>
      </w:r>
      <w:r w:rsidR="0084279F" w:rsidRPr="00194D56">
        <w:rPr>
          <w:rFonts w:ascii="Verdana" w:eastAsiaTheme="minorHAnsi" w:hAnsi="Verdana" w:cs="Arial"/>
          <w:sz w:val="22"/>
          <w:szCs w:val="22"/>
          <w:lang w:val="es-ES" w:eastAsia="en-US"/>
        </w:rPr>
        <w:t>que los PRST plante</w:t>
      </w:r>
      <w:r w:rsidR="004A476B">
        <w:rPr>
          <w:rFonts w:ascii="Verdana" w:eastAsiaTheme="minorHAnsi" w:hAnsi="Verdana" w:cs="Arial"/>
          <w:sz w:val="22"/>
          <w:szCs w:val="22"/>
          <w:lang w:val="es-ES" w:eastAsia="en-US"/>
        </w:rPr>
        <w:t>a</w:t>
      </w:r>
      <w:r w:rsidR="0084279F" w:rsidRPr="00194D56">
        <w:rPr>
          <w:rFonts w:ascii="Verdana" w:eastAsiaTheme="minorHAnsi" w:hAnsi="Verdana" w:cs="Arial"/>
          <w:sz w:val="22"/>
          <w:szCs w:val="22"/>
          <w:lang w:val="es-ES" w:eastAsia="en-US"/>
        </w:rPr>
        <w:t>n</w:t>
      </w:r>
      <w:r w:rsidR="00A95980" w:rsidRPr="00194D56">
        <w:rPr>
          <w:rFonts w:ascii="Verdana" w:eastAsiaTheme="minorHAnsi" w:hAnsi="Verdana" w:cs="Arial"/>
          <w:sz w:val="22"/>
          <w:szCs w:val="22"/>
          <w:lang w:val="es-ES" w:eastAsia="en-US"/>
        </w:rPr>
        <w:t xml:space="preserve"> para recuperar participación en el mercado de comercialización de ETM</w:t>
      </w:r>
      <w:r w:rsidR="0084279F" w:rsidRPr="00194D56">
        <w:rPr>
          <w:rFonts w:ascii="Verdana" w:eastAsiaTheme="minorHAnsi" w:hAnsi="Verdana" w:cs="Arial"/>
          <w:sz w:val="22"/>
          <w:szCs w:val="22"/>
          <w:lang w:val="es-ES" w:eastAsia="en-US"/>
        </w:rPr>
        <w:t>.</w:t>
      </w:r>
    </w:p>
    <w:p w14:paraId="230FB3CC" w14:textId="4E174A08" w:rsidR="00EA4183" w:rsidRPr="00194D56" w:rsidRDefault="00EA4183" w:rsidP="00686E32">
      <w:pPr>
        <w:pStyle w:val="NormalWeb"/>
        <w:numPr>
          <w:ilvl w:val="0"/>
          <w:numId w:val="2"/>
        </w:numPr>
        <w:shd w:val="clear" w:color="auto" w:fill="FFFFFF"/>
        <w:spacing w:before="0" w:beforeAutospacing="0" w:after="150" w:afterAutospacing="0" w:line="276" w:lineRule="auto"/>
        <w:jc w:val="both"/>
        <w:rPr>
          <w:rFonts w:ascii="Arial" w:hAnsi="Arial" w:cs="Arial"/>
          <w:color w:val="333333"/>
          <w:sz w:val="21"/>
          <w:szCs w:val="21"/>
          <w:lang w:val="es-ES"/>
        </w:rPr>
      </w:pPr>
      <w:r w:rsidRPr="00194D56">
        <w:rPr>
          <w:rFonts w:ascii="Verdana" w:eastAsiaTheme="minorHAnsi" w:hAnsi="Verdana" w:cs="Arial"/>
          <w:sz w:val="22"/>
          <w:szCs w:val="22"/>
          <w:lang w:val="es-ES" w:eastAsia="en-US"/>
        </w:rPr>
        <w:t xml:space="preserve">Por último, </w:t>
      </w:r>
      <w:r w:rsidR="00A96162" w:rsidRPr="003F5316">
        <w:rPr>
          <w:rFonts w:ascii="Verdana" w:eastAsiaTheme="minorHAnsi" w:hAnsi="Verdana" w:cs="Arial"/>
          <w:sz w:val="22"/>
          <w:szCs w:val="22"/>
          <w:lang w:val="es-ES" w:eastAsia="en-US"/>
        </w:rPr>
        <w:t>se</w:t>
      </w:r>
      <w:r w:rsidR="004A476B">
        <w:rPr>
          <w:rFonts w:ascii="Verdana" w:eastAsiaTheme="minorHAnsi" w:hAnsi="Verdana" w:cs="Arial"/>
          <w:sz w:val="22"/>
          <w:szCs w:val="22"/>
          <w:lang w:val="es-ES" w:eastAsia="en-US"/>
        </w:rPr>
        <w:t xml:space="preserve"> sugiere la inclusión de </w:t>
      </w:r>
      <w:r w:rsidR="00A96162" w:rsidRPr="00194D56">
        <w:rPr>
          <w:rFonts w:ascii="Verdana" w:eastAsiaTheme="minorHAnsi" w:hAnsi="Verdana" w:cs="Arial"/>
          <w:sz w:val="22"/>
          <w:szCs w:val="22"/>
          <w:lang w:val="es-ES" w:eastAsia="en-US"/>
        </w:rPr>
        <w:t>un apartado</w:t>
      </w:r>
      <w:r w:rsidRPr="00194D56">
        <w:rPr>
          <w:rFonts w:ascii="Verdana" w:eastAsiaTheme="minorHAnsi" w:hAnsi="Verdana" w:cs="Arial"/>
          <w:sz w:val="22"/>
          <w:szCs w:val="22"/>
          <w:lang w:val="es-ES" w:eastAsia="en-US"/>
        </w:rPr>
        <w:t xml:space="preserve"> con la</w:t>
      </w:r>
      <w:r w:rsidR="002E3C02" w:rsidRPr="00194D56">
        <w:rPr>
          <w:rFonts w:ascii="Verdana" w:eastAsiaTheme="minorHAnsi" w:hAnsi="Verdana" w:cs="Arial"/>
          <w:sz w:val="22"/>
          <w:szCs w:val="22"/>
          <w:lang w:val="es-ES" w:eastAsia="en-US"/>
        </w:rPr>
        <w:t>s</w:t>
      </w:r>
      <w:r w:rsidRPr="00194D56">
        <w:rPr>
          <w:rFonts w:ascii="Verdana" w:eastAsiaTheme="minorHAnsi" w:hAnsi="Verdana" w:cs="Arial"/>
          <w:sz w:val="22"/>
          <w:szCs w:val="22"/>
          <w:lang w:val="es-ES" w:eastAsia="en-US"/>
        </w:rPr>
        <w:t xml:space="preserve"> </w:t>
      </w:r>
      <w:r w:rsidR="002E3C02" w:rsidRPr="00194D56">
        <w:rPr>
          <w:rFonts w:ascii="Verdana" w:eastAsiaTheme="minorHAnsi" w:hAnsi="Verdana" w:cs="Arial"/>
          <w:sz w:val="22"/>
          <w:szCs w:val="22"/>
          <w:lang w:val="es-ES" w:eastAsia="en-US"/>
        </w:rPr>
        <w:t>referencias bibliográficas</w:t>
      </w:r>
      <w:r w:rsidRPr="00194D56">
        <w:rPr>
          <w:rFonts w:ascii="Verdana" w:eastAsiaTheme="minorHAnsi" w:hAnsi="Verdana" w:cs="Arial"/>
          <w:sz w:val="22"/>
          <w:szCs w:val="22"/>
          <w:lang w:val="es-ES" w:eastAsia="en-US"/>
        </w:rPr>
        <w:t xml:space="preserve"> </w:t>
      </w:r>
      <w:r w:rsidR="002E3C02" w:rsidRPr="00194D56">
        <w:rPr>
          <w:rFonts w:ascii="Verdana" w:eastAsiaTheme="minorHAnsi" w:hAnsi="Verdana" w:cs="Arial"/>
          <w:sz w:val="22"/>
          <w:szCs w:val="22"/>
          <w:lang w:val="es-ES" w:eastAsia="en-US"/>
        </w:rPr>
        <w:t>citadas</w:t>
      </w:r>
      <w:r w:rsidRPr="00194D56">
        <w:rPr>
          <w:rFonts w:ascii="Verdana" w:eastAsiaTheme="minorHAnsi" w:hAnsi="Verdana" w:cs="Arial"/>
          <w:sz w:val="22"/>
          <w:szCs w:val="22"/>
          <w:lang w:val="es-ES" w:eastAsia="en-US"/>
        </w:rPr>
        <w:t xml:space="preserve"> en el </w:t>
      </w:r>
      <w:r w:rsidRPr="00083F36">
        <w:rPr>
          <w:rFonts w:ascii="Verdana" w:eastAsiaTheme="minorHAnsi" w:hAnsi="Verdana" w:cs="Arial"/>
          <w:sz w:val="22"/>
          <w:szCs w:val="22"/>
          <w:lang w:val="es-ES" w:eastAsia="en-US"/>
        </w:rPr>
        <w:t>documento</w:t>
      </w:r>
      <w:r w:rsidR="00083F36">
        <w:rPr>
          <w:rFonts w:ascii="Verdana" w:eastAsiaTheme="minorHAnsi" w:hAnsi="Verdana" w:cs="Arial"/>
          <w:sz w:val="22"/>
          <w:szCs w:val="22"/>
          <w:lang w:val="es-ES" w:eastAsia="en-US"/>
        </w:rPr>
        <w:t>,</w:t>
      </w:r>
      <w:r w:rsidR="004A476B">
        <w:rPr>
          <w:rFonts w:ascii="Verdana" w:eastAsiaTheme="minorHAnsi" w:hAnsi="Verdana" w:cs="Arial"/>
          <w:sz w:val="22"/>
          <w:szCs w:val="22"/>
          <w:lang w:val="es-ES" w:eastAsia="en-US"/>
        </w:rPr>
        <w:t xml:space="preserve"> pues la información d</w:t>
      </w:r>
      <w:r w:rsidR="0080276E" w:rsidRPr="00083F36">
        <w:rPr>
          <w:rFonts w:ascii="Verdana" w:eastAsiaTheme="minorHAnsi" w:hAnsi="Verdana" w:cs="Arial"/>
          <w:sz w:val="22"/>
          <w:szCs w:val="22"/>
          <w:lang w:val="es-ES" w:eastAsia="en-US"/>
        </w:rPr>
        <w:t xml:space="preserve">e algunos documentos no se presenta </w:t>
      </w:r>
      <w:r w:rsidR="004A476B">
        <w:rPr>
          <w:rFonts w:ascii="Verdana" w:eastAsiaTheme="minorHAnsi" w:hAnsi="Verdana" w:cs="Arial"/>
          <w:sz w:val="22"/>
          <w:szCs w:val="22"/>
          <w:lang w:val="es-ES" w:eastAsia="en-US"/>
        </w:rPr>
        <w:t xml:space="preserve">de forma </w:t>
      </w:r>
      <w:r w:rsidR="0080276E" w:rsidRPr="00194D56">
        <w:rPr>
          <w:rFonts w:ascii="Verdana" w:eastAsiaTheme="minorHAnsi" w:hAnsi="Verdana" w:cs="Arial"/>
          <w:sz w:val="22"/>
          <w:szCs w:val="22"/>
          <w:lang w:val="es-ES" w:eastAsia="en-US"/>
        </w:rPr>
        <w:t xml:space="preserve">completa y </w:t>
      </w:r>
      <w:r w:rsidRPr="00194D56">
        <w:rPr>
          <w:rFonts w:ascii="Verdana" w:eastAsiaTheme="minorHAnsi" w:hAnsi="Verdana" w:cs="Arial"/>
          <w:sz w:val="22"/>
          <w:szCs w:val="22"/>
          <w:lang w:val="es-ES" w:eastAsia="en-US"/>
        </w:rPr>
        <w:t>eso dificulta su consulta.</w:t>
      </w:r>
    </w:p>
    <w:p w14:paraId="2C716FF4" w14:textId="77777777" w:rsidR="00636127" w:rsidRPr="00194D56" w:rsidRDefault="00636127" w:rsidP="00686E32">
      <w:pPr>
        <w:spacing w:after="0" w:line="276" w:lineRule="auto"/>
        <w:rPr>
          <w:rFonts w:ascii="Verdana" w:hAnsi="Verdana" w:cs="Arial"/>
          <w:lang w:val="es-ES"/>
        </w:rPr>
      </w:pPr>
    </w:p>
    <w:p w14:paraId="16E0AB20" w14:textId="5F581B43" w:rsidR="00DF4847" w:rsidRPr="00194D56" w:rsidRDefault="00DF4847" w:rsidP="00686E32">
      <w:pPr>
        <w:spacing w:after="0" w:line="276" w:lineRule="auto"/>
        <w:jc w:val="both"/>
        <w:rPr>
          <w:rFonts w:ascii="Verdana" w:hAnsi="Verdana" w:cs="Arial"/>
          <w:lang w:val="es-ES"/>
        </w:rPr>
      </w:pPr>
      <w:r w:rsidRPr="00194D56">
        <w:rPr>
          <w:rFonts w:ascii="Verdana" w:hAnsi="Verdana" w:cs="Arial"/>
          <w:lang w:val="es-ES"/>
        </w:rPr>
        <w:t xml:space="preserve">A la espera </w:t>
      </w:r>
      <w:r w:rsidR="004A476B">
        <w:rPr>
          <w:rFonts w:ascii="Verdana" w:hAnsi="Verdana" w:cs="Arial"/>
          <w:lang w:val="es-ES"/>
        </w:rPr>
        <w:t xml:space="preserve">de </w:t>
      </w:r>
      <w:r w:rsidRPr="00194D56">
        <w:rPr>
          <w:rFonts w:ascii="Verdana" w:hAnsi="Verdana" w:cs="Arial"/>
          <w:lang w:val="es-ES"/>
        </w:rPr>
        <w:t>que las observaciones y comentarios sean tenidos en cuenta por parte de</w:t>
      </w:r>
      <w:r w:rsidR="00E5502E" w:rsidRPr="00194D56">
        <w:rPr>
          <w:rFonts w:ascii="Verdana" w:hAnsi="Verdana" w:cs="Arial"/>
          <w:lang w:val="es-ES"/>
        </w:rPr>
        <w:t xml:space="preserve"> la Comisión de Regulación de Comunicaciones CRC. </w:t>
      </w:r>
    </w:p>
    <w:p w14:paraId="4411A90A" w14:textId="77777777" w:rsidR="00DF4847" w:rsidRPr="00194D56" w:rsidRDefault="00DF4847" w:rsidP="00686E32">
      <w:pPr>
        <w:spacing w:after="0" w:line="276" w:lineRule="auto"/>
        <w:rPr>
          <w:rFonts w:ascii="Verdana" w:hAnsi="Verdana" w:cs="Arial"/>
          <w:lang w:val="es-ES"/>
        </w:rPr>
      </w:pPr>
    </w:p>
    <w:p w14:paraId="748ECA3C" w14:textId="77777777" w:rsidR="00DF4847" w:rsidRPr="00194D56" w:rsidRDefault="00DF4847" w:rsidP="00686E32">
      <w:pPr>
        <w:spacing w:after="0" w:line="276" w:lineRule="auto"/>
        <w:rPr>
          <w:rFonts w:ascii="Verdana" w:hAnsi="Verdana" w:cs="Arial"/>
          <w:lang w:val="es-ES"/>
        </w:rPr>
      </w:pPr>
    </w:p>
    <w:p w14:paraId="24F14554" w14:textId="77777777" w:rsidR="00DF4847" w:rsidRPr="00194D56" w:rsidRDefault="00DF4847" w:rsidP="00686E32">
      <w:pPr>
        <w:spacing w:after="0" w:line="276" w:lineRule="auto"/>
        <w:rPr>
          <w:rFonts w:ascii="Verdana" w:hAnsi="Verdana" w:cs="Arial"/>
          <w:lang w:val="es-ES"/>
        </w:rPr>
      </w:pPr>
      <w:r w:rsidRPr="00194D56">
        <w:rPr>
          <w:rFonts w:ascii="Verdana" w:hAnsi="Verdana" w:cs="Arial"/>
          <w:lang w:val="es-ES"/>
        </w:rPr>
        <w:t xml:space="preserve">Cordialmente, </w:t>
      </w:r>
    </w:p>
    <w:p w14:paraId="56FD5FC9" w14:textId="77777777" w:rsidR="00DF4847" w:rsidRDefault="00DF4847" w:rsidP="00686E32">
      <w:pPr>
        <w:spacing w:after="0" w:line="276" w:lineRule="auto"/>
        <w:rPr>
          <w:rFonts w:ascii="Verdana" w:hAnsi="Verdana" w:cs="Arial"/>
          <w:lang w:val="es-ES"/>
        </w:rPr>
      </w:pPr>
    </w:p>
    <w:p w14:paraId="2B134683" w14:textId="77777777" w:rsidR="00194D56" w:rsidRPr="00194D56" w:rsidRDefault="00194D56" w:rsidP="00686E32">
      <w:pPr>
        <w:spacing w:after="0" w:line="276" w:lineRule="auto"/>
        <w:rPr>
          <w:rFonts w:ascii="Verdana" w:hAnsi="Verdana" w:cs="Arial"/>
          <w:lang w:val="es-ES"/>
        </w:rPr>
      </w:pPr>
    </w:p>
    <w:p w14:paraId="6BBDA1AE" w14:textId="00F318D3" w:rsidR="00DF4847" w:rsidRPr="00194D56" w:rsidRDefault="00DF4847" w:rsidP="004F2259">
      <w:pPr>
        <w:spacing w:after="0" w:line="276" w:lineRule="auto"/>
        <w:outlineLvl w:val="0"/>
        <w:rPr>
          <w:rFonts w:ascii="Verdana" w:hAnsi="Verdana" w:cs="Arial"/>
          <w:b/>
          <w:lang w:val="es-ES"/>
        </w:rPr>
      </w:pPr>
      <w:r w:rsidRPr="00194D56">
        <w:rPr>
          <w:rFonts w:ascii="Verdana" w:hAnsi="Verdana" w:cs="Arial"/>
          <w:b/>
          <w:lang w:val="es-ES"/>
        </w:rPr>
        <w:t>DEPARTAMENTO DE DERECHO DE LAS TELECOMUNICACIONES UNIVERSIDAD EXTERNADO DE COLOMBIA</w:t>
      </w:r>
    </w:p>
    <w:sectPr w:rsidR="00DF4847" w:rsidRPr="00194D56">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9268C" w14:textId="77777777" w:rsidR="00FB179E" w:rsidRDefault="00FB179E" w:rsidP="00DF4847">
      <w:pPr>
        <w:spacing w:after="0" w:line="240" w:lineRule="auto"/>
      </w:pPr>
      <w:r>
        <w:separator/>
      </w:r>
    </w:p>
  </w:endnote>
  <w:endnote w:type="continuationSeparator" w:id="0">
    <w:p w14:paraId="5983E98C" w14:textId="77777777" w:rsidR="00FB179E" w:rsidRDefault="00FB179E" w:rsidP="00DF4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1D60C" w14:textId="77777777" w:rsidR="00FB179E" w:rsidRDefault="00FB179E" w:rsidP="00DF4847">
      <w:pPr>
        <w:spacing w:after="0" w:line="240" w:lineRule="auto"/>
      </w:pPr>
      <w:r>
        <w:separator/>
      </w:r>
    </w:p>
  </w:footnote>
  <w:footnote w:type="continuationSeparator" w:id="0">
    <w:p w14:paraId="66D9F5B5" w14:textId="77777777" w:rsidR="00FB179E" w:rsidRDefault="00FB179E" w:rsidP="00DF4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7D1EB" w14:textId="77777777" w:rsidR="004632EC" w:rsidRDefault="009D6F73">
    <w:pPr>
      <w:pStyle w:val="Encabezado"/>
    </w:pPr>
    <w:r>
      <w:rPr>
        <w:noProof/>
        <w:lang w:eastAsia="es-CO"/>
      </w:rPr>
      <w:drawing>
        <wp:anchor distT="0" distB="0" distL="114300" distR="114300" simplePos="0" relativeHeight="251659264" behindDoc="0" locked="0" layoutInCell="1" allowOverlap="1" wp14:anchorId="38C29A80" wp14:editId="1CADE942">
          <wp:simplePos x="0" y="0"/>
          <wp:positionH relativeFrom="column">
            <wp:posOffset>-114300</wp:posOffset>
          </wp:positionH>
          <wp:positionV relativeFrom="paragraph">
            <wp:posOffset>-143510</wp:posOffset>
          </wp:positionV>
          <wp:extent cx="5614670" cy="414655"/>
          <wp:effectExtent l="0" t="0" r="5080" b="444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4670" cy="4146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7AF6"/>
    <w:multiLevelType w:val="hybridMultilevel"/>
    <w:tmpl w:val="FA08C22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1A07441F"/>
    <w:multiLevelType w:val="hybridMultilevel"/>
    <w:tmpl w:val="307435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4DB1184"/>
    <w:multiLevelType w:val="hybridMultilevel"/>
    <w:tmpl w:val="352EA39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50580BEF"/>
    <w:multiLevelType w:val="hybridMultilevel"/>
    <w:tmpl w:val="E96C75FC"/>
    <w:lvl w:ilvl="0" w:tplc="3CAA99BE">
      <w:start w:val="1"/>
      <w:numFmt w:val="decimal"/>
      <w:lvlText w:val="%1."/>
      <w:lvlJc w:val="left"/>
      <w:pPr>
        <w:ind w:left="360" w:hanging="360"/>
      </w:pPr>
      <w:rPr>
        <w:i w:val="0"/>
        <w:color w:val="auto"/>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7FD14D20"/>
    <w:multiLevelType w:val="hybridMultilevel"/>
    <w:tmpl w:val="7018A3F6"/>
    <w:lvl w:ilvl="0" w:tplc="6D748B5E">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847"/>
    <w:rsid w:val="00002133"/>
    <w:rsid w:val="000111BC"/>
    <w:rsid w:val="00013D25"/>
    <w:rsid w:val="000353BB"/>
    <w:rsid w:val="00050766"/>
    <w:rsid w:val="00053268"/>
    <w:rsid w:val="00082EF5"/>
    <w:rsid w:val="00083F36"/>
    <w:rsid w:val="000911FA"/>
    <w:rsid w:val="000A5884"/>
    <w:rsid w:val="000C2BA7"/>
    <w:rsid w:val="000C6CAD"/>
    <w:rsid w:val="00103451"/>
    <w:rsid w:val="0010791F"/>
    <w:rsid w:val="00112388"/>
    <w:rsid w:val="00115D9C"/>
    <w:rsid w:val="00136641"/>
    <w:rsid w:val="00190C96"/>
    <w:rsid w:val="00194D56"/>
    <w:rsid w:val="001D3E72"/>
    <w:rsid w:val="001D6CD6"/>
    <w:rsid w:val="001E6C88"/>
    <w:rsid w:val="001F4734"/>
    <w:rsid w:val="0022454E"/>
    <w:rsid w:val="00232ECE"/>
    <w:rsid w:val="00233226"/>
    <w:rsid w:val="00236277"/>
    <w:rsid w:val="0024168A"/>
    <w:rsid w:val="00255540"/>
    <w:rsid w:val="00272F98"/>
    <w:rsid w:val="002760C6"/>
    <w:rsid w:val="00280120"/>
    <w:rsid w:val="0028280B"/>
    <w:rsid w:val="00285E96"/>
    <w:rsid w:val="002A220C"/>
    <w:rsid w:val="002A6F01"/>
    <w:rsid w:val="002C23E9"/>
    <w:rsid w:val="002E0AF1"/>
    <w:rsid w:val="002E3C02"/>
    <w:rsid w:val="003010D2"/>
    <w:rsid w:val="00311B98"/>
    <w:rsid w:val="003723DF"/>
    <w:rsid w:val="003810DC"/>
    <w:rsid w:val="0039184F"/>
    <w:rsid w:val="003965B6"/>
    <w:rsid w:val="003A70C2"/>
    <w:rsid w:val="003B1B76"/>
    <w:rsid w:val="003B7233"/>
    <w:rsid w:val="003E38BE"/>
    <w:rsid w:val="003E3AF3"/>
    <w:rsid w:val="003F5316"/>
    <w:rsid w:val="00400772"/>
    <w:rsid w:val="0040211A"/>
    <w:rsid w:val="00426735"/>
    <w:rsid w:val="004423D5"/>
    <w:rsid w:val="00442C6E"/>
    <w:rsid w:val="00460AB9"/>
    <w:rsid w:val="0048592A"/>
    <w:rsid w:val="00497EED"/>
    <w:rsid w:val="004A296F"/>
    <w:rsid w:val="004A476B"/>
    <w:rsid w:val="004F2259"/>
    <w:rsid w:val="004F2826"/>
    <w:rsid w:val="005454F2"/>
    <w:rsid w:val="005548C8"/>
    <w:rsid w:val="00562568"/>
    <w:rsid w:val="0057169F"/>
    <w:rsid w:val="00576567"/>
    <w:rsid w:val="00590BBC"/>
    <w:rsid w:val="00593101"/>
    <w:rsid w:val="00597317"/>
    <w:rsid w:val="005A46F2"/>
    <w:rsid w:val="005D1021"/>
    <w:rsid w:val="005E300D"/>
    <w:rsid w:val="005F7063"/>
    <w:rsid w:val="0060623E"/>
    <w:rsid w:val="00636127"/>
    <w:rsid w:val="006377FA"/>
    <w:rsid w:val="006448A5"/>
    <w:rsid w:val="00667E6C"/>
    <w:rsid w:val="00686E32"/>
    <w:rsid w:val="006A5EB0"/>
    <w:rsid w:val="006B2B35"/>
    <w:rsid w:val="006D6F80"/>
    <w:rsid w:val="00711205"/>
    <w:rsid w:val="007241A0"/>
    <w:rsid w:val="00725727"/>
    <w:rsid w:val="0075044F"/>
    <w:rsid w:val="00775A31"/>
    <w:rsid w:val="00776DAA"/>
    <w:rsid w:val="00783514"/>
    <w:rsid w:val="00796899"/>
    <w:rsid w:val="007A329B"/>
    <w:rsid w:val="007A7F0B"/>
    <w:rsid w:val="0080276E"/>
    <w:rsid w:val="008245A2"/>
    <w:rsid w:val="00842132"/>
    <w:rsid w:val="0084279F"/>
    <w:rsid w:val="00881C46"/>
    <w:rsid w:val="008B10FA"/>
    <w:rsid w:val="008B50A5"/>
    <w:rsid w:val="008C2B8C"/>
    <w:rsid w:val="008D1117"/>
    <w:rsid w:val="008E2B99"/>
    <w:rsid w:val="008F2D89"/>
    <w:rsid w:val="0091240B"/>
    <w:rsid w:val="0091312C"/>
    <w:rsid w:val="009166E7"/>
    <w:rsid w:val="00926269"/>
    <w:rsid w:val="00954378"/>
    <w:rsid w:val="00973653"/>
    <w:rsid w:val="009768D7"/>
    <w:rsid w:val="0098365A"/>
    <w:rsid w:val="00984619"/>
    <w:rsid w:val="00997958"/>
    <w:rsid w:val="009A0864"/>
    <w:rsid w:val="009B4AAA"/>
    <w:rsid w:val="009C3083"/>
    <w:rsid w:val="009C603D"/>
    <w:rsid w:val="009C6C85"/>
    <w:rsid w:val="009D08B6"/>
    <w:rsid w:val="009D0B3A"/>
    <w:rsid w:val="009D6F73"/>
    <w:rsid w:val="009F5B10"/>
    <w:rsid w:val="00A15D04"/>
    <w:rsid w:val="00A16F72"/>
    <w:rsid w:val="00A27BBC"/>
    <w:rsid w:val="00A31625"/>
    <w:rsid w:val="00A71D7C"/>
    <w:rsid w:val="00A74261"/>
    <w:rsid w:val="00A8288C"/>
    <w:rsid w:val="00A8656F"/>
    <w:rsid w:val="00A95980"/>
    <w:rsid w:val="00A96162"/>
    <w:rsid w:val="00AA1EB4"/>
    <w:rsid w:val="00AD7E57"/>
    <w:rsid w:val="00AF0803"/>
    <w:rsid w:val="00B46D0B"/>
    <w:rsid w:val="00B63984"/>
    <w:rsid w:val="00B66A41"/>
    <w:rsid w:val="00BA27D5"/>
    <w:rsid w:val="00BC3817"/>
    <w:rsid w:val="00BC6B5E"/>
    <w:rsid w:val="00BD3270"/>
    <w:rsid w:val="00BD47A5"/>
    <w:rsid w:val="00BE04A0"/>
    <w:rsid w:val="00BE4238"/>
    <w:rsid w:val="00BF2622"/>
    <w:rsid w:val="00C32D51"/>
    <w:rsid w:val="00C52A04"/>
    <w:rsid w:val="00C6469F"/>
    <w:rsid w:val="00C77849"/>
    <w:rsid w:val="00C77DC8"/>
    <w:rsid w:val="00C85E7C"/>
    <w:rsid w:val="00C9119D"/>
    <w:rsid w:val="00C914FB"/>
    <w:rsid w:val="00CA546C"/>
    <w:rsid w:val="00CB2D51"/>
    <w:rsid w:val="00CD0C7F"/>
    <w:rsid w:val="00CF097F"/>
    <w:rsid w:val="00CF546C"/>
    <w:rsid w:val="00D302E8"/>
    <w:rsid w:val="00D478B7"/>
    <w:rsid w:val="00D7318C"/>
    <w:rsid w:val="00DA691E"/>
    <w:rsid w:val="00DB1A36"/>
    <w:rsid w:val="00DB42A2"/>
    <w:rsid w:val="00DF3B7F"/>
    <w:rsid w:val="00DF4847"/>
    <w:rsid w:val="00DF70A7"/>
    <w:rsid w:val="00E03F84"/>
    <w:rsid w:val="00E041FF"/>
    <w:rsid w:val="00E04FFF"/>
    <w:rsid w:val="00E32AE9"/>
    <w:rsid w:val="00E35245"/>
    <w:rsid w:val="00E5502E"/>
    <w:rsid w:val="00E91BEE"/>
    <w:rsid w:val="00EA4183"/>
    <w:rsid w:val="00EB38C8"/>
    <w:rsid w:val="00EC3889"/>
    <w:rsid w:val="00ED2896"/>
    <w:rsid w:val="00F00EE2"/>
    <w:rsid w:val="00F14D1A"/>
    <w:rsid w:val="00F271D5"/>
    <w:rsid w:val="00F32119"/>
    <w:rsid w:val="00F4683E"/>
    <w:rsid w:val="00F5354A"/>
    <w:rsid w:val="00F57CF0"/>
    <w:rsid w:val="00F60321"/>
    <w:rsid w:val="00F67176"/>
    <w:rsid w:val="00F74517"/>
    <w:rsid w:val="00F83B35"/>
    <w:rsid w:val="00F97F78"/>
    <w:rsid w:val="00FB05C4"/>
    <w:rsid w:val="00FB179E"/>
    <w:rsid w:val="00FB5145"/>
    <w:rsid w:val="00FD30E9"/>
    <w:rsid w:val="00FF4D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071D"/>
  <w15:chartTrackingRefBased/>
  <w15:docId w15:val="{2F3602EC-3AB3-45F6-AEA7-EAFC61CBB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8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48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4847"/>
  </w:style>
  <w:style w:type="paragraph" w:styleId="Prrafodelista">
    <w:name w:val="List Paragraph"/>
    <w:basedOn w:val="Normal"/>
    <w:uiPriority w:val="34"/>
    <w:qFormat/>
    <w:rsid w:val="00DF4847"/>
    <w:pPr>
      <w:ind w:left="720"/>
      <w:contextualSpacing/>
    </w:pPr>
  </w:style>
  <w:style w:type="paragraph" w:styleId="Textonotapie">
    <w:name w:val="footnote text"/>
    <w:basedOn w:val="Normal"/>
    <w:link w:val="TextonotapieCar"/>
    <w:uiPriority w:val="99"/>
    <w:unhideWhenUsed/>
    <w:rsid w:val="00DF4847"/>
    <w:pPr>
      <w:spacing w:after="0" w:line="240" w:lineRule="auto"/>
    </w:pPr>
    <w:rPr>
      <w:sz w:val="20"/>
      <w:szCs w:val="20"/>
    </w:rPr>
  </w:style>
  <w:style w:type="character" w:customStyle="1" w:styleId="TextonotapieCar">
    <w:name w:val="Texto nota pie Car"/>
    <w:basedOn w:val="Fuentedeprrafopredeter"/>
    <w:link w:val="Textonotapie"/>
    <w:uiPriority w:val="99"/>
    <w:rsid w:val="00DF4847"/>
    <w:rPr>
      <w:sz w:val="20"/>
      <w:szCs w:val="20"/>
    </w:rPr>
  </w:style>
  <w:style w:type="character" w:styleId="Refdenotaalpie">
    <w:name w:val="footnote reference"/>
    <w:basedOn w:val="Fuentedeprrafopredeter"/>
    <w:uiPriority w:val="99"/>
    <w:semiHidden/>
    <w:unhideWhenUsed/>
    <w:rsid w:val="00DF4847"/>
    <w:rPr>
      <w:vertAlign w:val="superscript"/>
    </w:rPr>
  </w:style>
  <w:style w:type="paragraph" w:customStyle="1" w:styleId="Default">
    <w:name w:val="Default"/>
    <w:rsid w:val="00DF4847"/>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232EC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B46D0B"/>
    <w:rPr>
      <w:sz w:val="16"/>
      <w:szCs w:val="16"/>
    </w:rPr>
  </w:style>
  <w:style w:type="paragraph" w:styleId="Textocomentario">
    <w:name w:val="annotation text"/>
    <w:basedOn w:val="Normal"/>
    <w:link w:val="TextocomentarioCar"/>
    <w:uiPriority w:val="99"/>
    <w:semiHidden/>
    <w:unhideWhenUsed/>
    <w:rsid w:val="00B46D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46D0B"/>
    <w:rPr>
      <w:sz w:val="20"/>
      <w:szCs w:val="20"/>
    </w:rPr>
  </w:style>
  <w:style w:type="paragraph" w:styleId="Asuntodelcomentario">
    <w:name w:val="annotation subject"/>
    <w:basedOn w:val="Textocomentario"/>
    <w:next w:val="Textocomentario"/>
    <w:link w:val="AsuntodelcomentarioCar"/>
    <w:uiPriority w:val="99"/>
    <w:semiHidden/>
    <w:unhideWhenUsed/>
    <w:rsid w:val="00B46D0B"/>
    <w:rPr>
      <w:b/>
      <w:bCs/>
    </w:rPr>
  </w:style>
  <w:style w:type="character" w:customStyle="1" w:styleId="AsuntodelcomentarioCar">
    <w:name w:val="Asunto del comentario Car"/>
    <w:basedOn w:val="TextocomentarioCar"/>
    <w:link w:val="Asuntodelcomentario"/>
    <w:uiPriority w:val="99"/>
    <w:semiHidden/>
    <w:rsid w:val="00B46D0B"/>
    <w:rPr>
      <w:b/>
      <w:bCs/>
      <w:sz w:val="20"/>
      <w:szCs w:val="20"/>
    </w:rPr>
  </w:style>
  <w:style w:type="paragraph" w:styleId="Textodeglobo">
    <w:name w:val="Balloon Text"/>
    <w:basedOn w:val="Normal"/>
    <w:link w:val="TextodegloboCar"/>
    <w:uiPriority w:val="99"/>
    <w:semiHidden/>
    <w:unhideWhenUsed/>
    <w:rsid w:val="00B46D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6D0B"/>
    <w:rPr>
      <w:rFonts w:ascii="Segoe UI" w:hAnsi="Segoe UI" w:cs="Segoe UI"/>
      <w:sz w:val="18"/>
      <w:szCs w:val="18"/>
    </w:rPr>
  </w:style>
  <w:style w:type="paragraph" w:styleId="Revisin">
    <w:name w:val="Revision"/>
    <w:hidden/>
    <w:uiPriority w:val="99"/>
    <w:semiHidden/>
    <w:rsid w:val="004F22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24805">
      <w:bodyDiv w:val="1"/>
      <w:marLeft w:val="0"/>
      <w:marRight w:val="0"/>
      <w:marTop w:val="0"/>
      <w:marBottom w:val="0"/>
      <w:divBdr>
        <w:top w:val="none" w:sz="0" w:space="0" w:color="auto"/>
        <w:left w:val="none" w:sz="0" w:space="0" w:color="auto"/>
        <w:bottom w:val="none" w:sz="0" w:space="0" w:color="auto"/>
        <w:right w:val="none" w:sz="0" w:space="0" w:color="auto"/>
      </w:divBdr>
    </w:div>
    <w:div w:id="24426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A15F5-C8B9-4016-91D3-001ED666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10682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Derecho de las Telecomunicaciones</dc:creator>
  <cp:keywords/>
  <dc:description/>
  <cp:lastModifiedBy>Camila Gutierrez</cp:lastModifiedBy>
  <cp:revision>2</cp:revision>
  <dcterms:created xsi:type="dcterms:W3CDTF">2018-04-23T15:28:00Z</dcterms:created>
  <dcterms:modified xsi:type="dcterms:W3CDTF">2018-04-23T15:28:00Z</dcterms:modified>
</cp:coreProperties>
</file>